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0193F" w14:textId="77777777" w:rsidR="00EB063D" w:rsidRPr="00EB063D" w:rsidRDefault="00EB063D" w:rsidP="00EB063D">
      <w:pPr>
        <w:spacing w:after="0" w:line="900" w:lineRule="atLeast"/>
        <w:outlineLvl w:val="0"/>
        <w:rPr>
          <w:rFonts w:ascii="ubuntu-medium" w:eastAsia="Times New Roman" w:hAnsi="ubuntu-medium" w:cs="Times New Roman"/>
          <w:b/>
          <w:bCs/>
          <w:color w:val="CC0000"/>
          <w:kern w:val="36"/>
          <w:sz w:val="72"/>
          <w:szCs w:val="72"/>
          <w:lang w:eastAsia="nl-NL"/>
        </w:rPr>
      </w:pPr>
      <w:r w:rsidRPr="00EB063D">
        <w:rPr>
          <w:rFonts w:ascii="ubuntu-medium" w:eastAsia="Times New Roman" w:hAnsi="ubuntu-medium" w:cs="Times New Roman"/>
          <w:b/>
          <w:bCs/>
          <w:color w:val="CC0000"/>
          <w:kern w:val="36"/>
          <w:sz w:val="72"/>
          <w:szCs w:val="72"/>
          <w:lang w:eastAsia="nl-NL"/>
        </w:rPr>
        <w:t>CO2 prestatieladder</w:t>
      </w:r>
    </w:p>
    <w:p w14:paraId="70257275" w14:textId="77777777" w:rsidR="00EB063D" w:rsidRPr="00EB063D" w:rsidRDefault="00EB063D" w:rsidP="00EB063D">
      <w:pPr>
        <w:spacing w:after="225" w:line="576" w:lineRule="atLeast"/>
        <w:outlineLvl w:val="1"/>
        <w:rPr>
          <w:rFonts w:ascii="ubuntu-medium" w:eastAsia="Times New Roman" w:hAnsi="ubuntu-medium" w:cs="Times New Roman"/>
          <w:b/>
          <w:bCs/>
          <w:color w:val="CC0000"/>
          <w:sz w:val="36"/>
          <w:szCs w:val="36"/>
          <w:lang w:eastAsia="nl-NL"/>
        </w:rPr>
      </w:pPr>
      <w:r w:rsidRPr="00EB063D">
        <w:rPr>
          <w:rFonts w:ascii="ubuntu-medium" w:eastAsia="Times New Roman" w:hAnsi="ubuntu-medium" w:cs="Times New Roman"/>
          <w:b/>
          <w:bCs/>
          <w:color w:val="CC0000"/>
          <w:sz w:val="36"/>
          <w:szCs w:val="36"/>
          <w:lang w:eastAsia="nl-NL"/>
        </w:rPr>
        <w:t>Het CO2-verbruik reduceren binnen de gehele organisatie</w:t>
      </w:r>
    </w:p>
    <w:p w14:paraId="67A4D3E9" w14:textId="77777777" w:rsidR="00EB063D" w:rsidRPr="00EB063D" w:rsidRDefault="00EB063D" w:rsidP="00EB063D">
      <w:pPr>
        <w:spacing w:after="225" w:line="576" w:lineRule="atLeast"/>
        <w:outlineLvl w:val="2"/>
        <w:rPr>
          <w:rFonts w:ascii="ubuntu-medium" w:eastAsia="Times New Roman" w:hAnsi="ubuntu-medium" w:cs="Times New Roman"/>
          <w:b/>
          <w:bCs/>
          <w:color w:val="CC0000"/>
          <w:sz w:val="36"/>
          <w:szCs w:val="36"/>
          <w:lang w:eastAsia="nl-NL"/>
        </w:rPr>
      </w:pPr>
      <w:r w:rsidRPr="00EB063D">
        <w:rPr>
          <w:rFonts w:ascii="ubuntu-medium" w:eastAsia="Times New Roman" w:hAnsi="ubuntu-medium" w:cs="Times New Roman"/>
          <w:b/>
          <w:bCs/>
          <w:color w:val="CC0000"/>
          <w:sz w:val="36"/>
          <w:szCs w:val="36"/>
          <w:lang w:eastAsia="nl-NL"/>
        </w:rPr>
        <w:t>Inzicht</w:t>
      </w:r>
    </w:p>
    <w:p w14:paraId="39627094" w14:textId="77777777" w:rsidR="00EB063D" w:rsidRPr="00EB063D" w:rsidRDefault="00EB063D" w:rsidP="00EB063D">
      <w:pPr>
        <w:spacing w:after="100" w:afterAutospacing="1" w:line="240" w:lineRule="auto"/>
        <w:rPr>
          <w:rFonts w:ascii="Times New Roman" w:eastAsia="Times New Roman" w:hAnsi="Times New Roman" w:cs="Times New Roman"/>
          <w:color w:val="666666"/>
          <w:sz w:val="26"/>
          <w:szCs w:val="26"/>
          <w:lang w:eastAsia="nl-NL"/>
        </w:rPr>
      </w:pPr>
      <w:r w:rsidRPr="00EB063D">
        <w:rPr>
          <w:rFonts w:ascii="Times New Roman" w:eastAsia="Times New Roman" w:hAnsi="Times New Roman" w:cs="Times New Roman"/>
          <w:color w:val="666666"/>
          <w:sz w:val="26"/>
          <w:szCs w:val="26"/>
          <w:lang w:eastAsia="nl-NL"/>
        </w:rPr>
        <w:t>De CO2-emissie (footprint) van J. van Etten Holding geeft de totale hoeveelheid CO2-productie die vrijkomt onder andere bij het verbruik van fossiele brandstoffen. Dit zijn onder andere het elektriciteitsverbruik, verbruik van brandstof door zwaar materieel en machines en de gereden kilometers met privé en zakenauto’s. Het is ons duidelijk dat binnen onze bedrijven de meeste CO2-uitstoot tot stand komt bij het verbranden van diesel. Wij zoeken de mogelijkheden om tot reductie te komen dan ook in terugdringen van deze vorm van verbruik. Het jaar 2013 wordt gezien als basisjaar. Jaarlijks wordt de uitstoot berekend en vergeleken met dit basisjaar.</w:t>
      </w:r>
    </w:p>
    <w:p w14:paraId="1085BCEE" w14:textId="77777777" w:rsidR="00EB063D" w:rsidRPr="00EB063D" w:rsidRDefault="00EB063D" w:rsidP="00EB063D">
      <w:pPr>
        <w:spacing w:after="225" w:line="576" w:lineRule="atLeast"/>
        <w:outlineLvl w:val="2"/>
        <w:rPr>
          <w:rFonts w:ascii="ubuntu-medium" w:eastAsia="Times New Roman" w:hAnsi="ubuntu-medium" w:cs="Times New Roman"/>
          <w:b/>
          <w:bCs/>
          <w:color w:val="CC0000"/>
          <w:sz w:val="36"/>
          <w:szCs w:val="36"/>
          <w:lang w:eastAsia="nl-NL"/>
        </w:rPr>
      </w:pPr>
      <w:r w:rsidRPr="00EB063D">
        <w:rPr>
          <w:rFonts w:ascii="ubuntu-medium" w:eastAsia="Times New Roman" w:hAnsi="ubuntu-medium" w:cs="Times New Roman"/>
          <w:b/>
          <w:bCs/>
          <w:color w:val="CC0000"/>
          <w:sz w:val="36"/>
          <w:szCs w:val="36"/>
          <w:lang w:eastAsia="nl-NL"/>
        </w:rPr>
        <w:t>Doelstelling CO2-reductie</w:t>
      </w:r>
    </w:p>
    <w:p w14:paraId="75AD9DCC" w14:textId="77777777" w:rsidR="00EB063D" w:rsidRPr="00EB063D" w:rsidRDefault="00EB063D" w:rsidP="00EB063D">
      <w:pPr>
        <w:spacing w:after="480" w:line="240" w:lineRule="auto"/>
        <w:rPr>
          <w:rFonts w:ascii="Times New Roman" w:eastAsia="Times New Roman" w:hAnsi="Times New Roman" w:cs="Times New Roman"/>
          <w:color w:val="666666"/>
          <w:sz w:val="26"/>
          <w:szCs w:val="26"/>
          <w:lang w:eastAsia="nl-NL"/>
        </w:rPr>
      </w:pPr>
      <w:r w:rsidRPr="00EB063D">
        <w:rPr>
          <w:rFonts w:ascii="Times New Roman" w:eastAsia="Times New Roman" w:hAnsi="Times New Roman" w:cs="Times New Roman"/>
          <w:color w:val="666666"/>
          <w:sz w:val="26"/>
          <w:szCs w:val="26"/>
          <w:lang w:eastAsia="nl-NL"/>
        </w:rPr>
        <w:t>Daarnaast is het interne kwaliteitssysteem inclusief CO2-prestaties geborgd in het KAM-beleid van Loonbedrijf J.van Etten en Grondbewerkingsbedrijf Blijdorp en extern via de website.</w:t>
      </w:r>
    </w:p>
    <w:p w14:paraId="208B82D0" w14:textId="77777777" w:rsidR="00EB063D" w:rsidRPr="00EB063D" w:rsidRDefault="00EB063D" w:rsidP="00EB063D">
      <w:pPr>
        <w:numPr>
          <w:ilvl w:val="0"/>
          <w:numId w:val="1"/>
        </w:numPr>
        <w:spacing w:before="100" w:beforeAutospacing="1" w:after="100" w:afterAutospacing="1" w:line="240" w:lineRule="auto"/>
        <w:ind w:left="0"/>
        <w:rPr>
          <w:rFonts w:ascii="Times New Roman" w:eastAsia="Times New Roman" w:hAnsi="Times New Roman" w:cs="Times New Roman"/>
          <w:color w:val="666666"/>
          <w:sz w:val="26"/>
          <w:szCs w:val="26"/>
          <w:lang w:eastAsia="nl-NL"/>
        </w:rPr>
      </w:pPr>
      <w:r w:rsidRPr="00EB063D">
        <w:rPr>
          <w:rFonts w:ascii="Times New Roman" w:eastAsia="Times New Roman" w:hAnsi="Times New Roman" w:cs="Times New Roman"/>
          <w:color w:val="666666"/>
          <w:sz w:val="26"/>
          <w:szCs w:val="26"/>
          <w:lang w:eastAsia="nl-NL"/>
        </w:rPr>
        <w:t>Loonbedrijf van Etten en Blijdorp willen het CO2-verbruik reduceren binnen de hele organisatie.</w:t>
      </w:r>
    </w:p>
    <w:p w14:paraId="23262807" w14:textId="77777777" w:rsidR="00EB063D" w:rsidRPr="00EB063D" w:rsidRDefault="00EB063D" w:rsidP="00EB063D">
      <w:pPr>
        <w:numPr>
          <w:ilvl w:val="0"/>
          <w:numId w:val="1"/>
        </w:numPr>
        <w:spacing w:before="100" w:beforeAutospacing="1" w:after="100" w:afterAutospacing="1" w:line="240" w:lineRule="auto"/>
        <w:ind w:left="0"/>
        <w:rPr>
          <w:rFonts w:ascii="Times New Roman" w:eastAsia="Times New Roman" w:hAnsi="Times New Roman" w:cs="Times New Roman"/>
          <w:color w:val="666666"/>
          <w:sz w:val="26"/>
          <w:szCs w:val="26"/>
          <w:lang w:eastAsia="nl-NL"/>
        </w:rPr>
      </w:pPr>
      <w:r w:rsidRPr="00EB063D">
        <w:rPr>
          <w:rFonts w:ascii="Times New Roman" w:eastAsia="Times New Roman" w:hAnsi="Times New Roman" w:cs="Times New Roman"/>
          <w:color w:val="666666"/>
          <w:sz w:val="26"/>
          <w:szCs w:val="26"/>
          <w:lang w:eastAsia="nl-NL"/>
        </w:rPr>
        <w:t>Interne rapportage met betrekking tot de voortgang van de doelstellingen.</w:t>
      </w:r>
    </w:p>
    <w:p w14:paraId="09DA4C71" w14:textId="77777777" w:rsidR="00EB063D" w:rsidRPr="00EB063D" w:rsidRDefault="00EB063D" w:rsidP="00EB063D">
      <w:pPr>
        <w:numPr>
          <w:ilvl w:val="0"/>
          <w:numId w:val="1"/>
        </w:numPr>
        <w:spacing w:before="100" w:beforeAutospacing="1" w:after="100" w:afterAutospacing="1" w:line="240" w:lineRule="auto"/>
        <w:ind w:left="0"/>
        <w:rPr>
          <w:rFonts w:ascii="Times New Roman" w:eastAsia="Times New Roman" w:hAnsi="Times New Roman" w:cs="Times New Roman"/>
          <w:color w:val="666666"/>
          <w:sz w:val="26"/>
          <w:szCs w:val="26"/>
          <w:lang w:eastAsia="nl-NL"/>
        </w:rPr>
      </w:pPr>
      <w:r w:rsidRPr="00EB063D">
        <w:rPr>
          <w:rFonts w:ascii="Times New Roman" w:eastAsia="Times New Roman" w:hAnsi="Times New Roman" w:cs="Times New Roman"/>
          <w:color w:val="666666"/>
          <w:sz w:val="26"/>
          <w:szCs w:val="26"/>
          <w:lang w:eastAsia="nl-NL"/>
        </w:rPr>
        <w:t>Verbruik wordt met personeel individueel en als groep besproken.</w:t>
      </w:r>
    </w:p>
    <w:p w14:paraId="16B351DC" w14:textId="77777777" w:rsidR="00EB063D" w:rsidRPr="00EB063D" w:rsidRDefault="00EB063D" w:rsidP="00EB063D">
      <w:pPr>
        <w:numPr>
          <w:ilvl w:val="0"/>
          <w:numId w:val="1"/>
        </w:numPr>
        <w:spacing w:before="100" w:beforeAutospacing="1" w:after="100" w:afterAutospacing="1" w:line="240" w:lineRule="auto"/>
        <w:ind w:left="0"/>
        <w:rPr>
          <w:rFonts w:ascii="Times New Roman" w:eastAsia="Times New Roman" w:hAnsi="Times New Roman" w:cs="Times New Roman"/>
          <w:color w:val="666666"/>
          <w:sz w:val="26"/>
          <w:szCs w:val="26"/>
          <w:lang w:eastAsia="nl-NL"/>
        </w:rPr>
      </w:pPr>
      <w:r w:rsidRPr="00EB063D">
        <w:rPr>
          <w:rFonts w:ascii="Times New Roman" w:eastAsia="Times New Roman" w:hAnsi="Times New Roman" w:cs="Times New Roman"/>
          <w:color w:val="666666"/>
          <w:sz w:val="26"/>
          <w:szCs w:val="26"/>
          <w:lang w:eastAsia="nl-NL"/>
        </w:rPr>
        <w:t>Via onze website geïnteresseerden en belanghebbenden op de hoogte houden van onze ontwikkelingen op het gebied van CO2-reductie.</w:t>
      </w:r>
    </w:p>
    <w:p w14:paraId="78583158" w14:textId="77777777" w:rsidR="00EB063D" w:rsidRPr="00EB063D" w:rsidRDefault="00EB063D" w:rsidP="00EB063D">
      <w:pPr>
        <w:numPr>
          <w:ilvl w:val="0"/>
          <w:numId w:val="1"/>
        </w:numPr>
        <w:spacing w:before="100" w:beforeAutospacing="1" w:after="100" w:afterAutospacing="1" w:line="240" w:lineRule="auto"/>
        <w:ind w:left="0"/>
        <w:rPr>
          <w:rFonts w:ascii="Times New Roman" w:eastAsia="Times New Roman" w:hAnsi="Times New Roman" w:cs="Times New Roman"/>
          <w:color w:val="666666"/>
          <w:sz w:val="26"/>
          <w:szCs w:val="26"/>
          <w:lang w:eastAsia="nl-NL"/>
        </w:rPr>
      </w:pPr>
      <w:r w:rsidRPr="00EB063D">
        <w:rPr>
          <w:rFonts w:ascii="Times New Roman" w:eastAsia="Times New Roman" w:hAnsi="Times New Roman" w:cs="Times New Roman"/>
          <w:color w:val="666666"/>
          <w:sz w:val="26"/>
          <w:szCs w:val="26"/>
          <w:lang w:eastAsia="nl-NL"/>
        </w:rPr>
        <w:t>Blijvende aandacht voor de aanschaf en vervanging van energiezuinige voertuigen.</w:t>
      </w:r>
    </w:p>
    <w:p w14:paraId="6A6A07A9" w14:textId="77777777" w:rsidR="00EB063D" w:rsidRPr="00EB063D" w:rsidRDefault="00EB063D" w:rsidP="00EB063D">
      <w:pPr>
        <w:numPr>
          <w:ilvl w:val="0"/>
          <w:numId w:val="1"/>
        </w:numPr>
        <w:spacing w:before="100" w:beforeAutospacing="1" w:after="100" w:afterAutospacing="1" w:line="240" w:lineRule="auto"/>
        <w:ind w:left="0"/>
        <w:rPr>
          <w:rFonts w:ascii="Times New Roman" w:eastAsia="Times New Roman" w:hAnsi="Times New Roman" w:cs="Times New Roman"/>
          <w:color w:val="666666"/>
          <w:sz w:val="26"/>
          <w:szCs w:val="26"/>
          <w:lang w:eastAsia="nl-NL"/>
        </w:rPr>
      </w:pPr>
      <w:r w:rsidRPr="00EB063D">
        <w:rPr>
          <w:rFonts w:ascii="Times New Roman" w:eastAsia="Times New Roman" w:hAnsi="Times New Roman" w:cs="Times New Roman"/>
          <w:color w:val="666666"/>
          <w:sz w:val="26"/>
          <w:szCs w:val="26"/>
          <w:lang w:eastAsia="nl-NL"/>
        </w:rPr>
        <w:t>Blijvende aandacht voor de planning van voertuig bewegingen en het combineren van transport.</w:t>
      </w:r>
    </w:p>
    <w:p w14:paraId="00B4C0A1" w14:textId="77777777" w:rsidR="00EB063D" w:rsidRPr="00EB063D" w:rsidRDefault="00EB063D" w:rsidP="00EB063D">
      <w:pPr>
        <w:numPr>
          <w:ilvl w:val="0"/>
          <w:numId w:val="1"/>
        </w:numPr>
        <w:spacing w:before="100" w:beforeAutospacing="1" w:after="100" w:afterAutospacing="1" w:line="240" w:lineRule="auto"/>
        <w:ind w:left="0"/>
        <w:rPr>
          <w:rFonts w:ascii="Times New Roman" w:eastAsia="Times New Roman" w:hAnsi="Times New Roman" w:cs="Times New Roman"/>
          <w:color w:val="666666"/>
          <w:sz w:val="26"/>
          <w:szCs w:val="26"/>
          <w:lang w:eastAsia="nl-NL"/>
        </w:rPr>
      </w:pPr>
      <w:r w:rsidRPr="00EB063D">
        <w:rPr>
          <w:rFonts w:ascii="Times New Roman" w:eastAsia="Times New Roman" w:hAnsi="Times New Roman" w:cs="Times New Roman"/>
          <w:color w:val="666666"/>
          <w:sz w:val="26"/>
          <w:szCs w:val="26"/>
          <w:lang w:eastAsia="nl-NL"/>
        </w:rPr>
        <w:t>Nadere inventarisatie van de materialen en middelen om het brandstofverbruik te inventariseren.</w:t>
      </w:r>
    </w:p>
    <w:p w14:paraId="314E98FC" w14:textId="77777777" w:rsidR="00EB063D" w:rsidRPr="00EB063D" w:rsidRDefault="00EB063D" w:rsidP="00EB063D">
      <w:pPr>
        <w:numPr>
          <w:ilvl w:val="0"/>
          <w:numId w:val="1"/>
        </w:numPr>
        <w:spacing w:before="100" w:beforeAutospacing="1" w:after="100" w:afterAutospacing="1" w:line="240" w:lineRule="auto"/>
        <w:ind w:left="0"/>
        <w:rPr>
          <w:rFonts w:ascii="Times New Roman" w:eastAsia="Times New Roman" w:hAnsi="Times New Roman" w:cs="Times New Roman"/>
          <w:color w:val="666666"/>
          <w:sz w:val="26"/>
          <w:szCs w:val="26"/>
          <w:lang w:eastAsia="nl-NL"/>
        </w:rPr>
      </w:pPr>
      <w:r w:rsidRPr="00EB063D">
        <w:rPr>
          <w:rFonts w:ascii="Times New Roman" w:eastAsia="Times New Roman" w:hAnsi="Times New Roman" w:cs="Times New Roman"/>
          <w:color w:val="666666"/>
          <w:sz w:val="26"/>
          <w:szCs w:val="26"/>
          <w:lang w:eastAsia="nl-NL"/>
        </w:rPr>
        <w:t>Een koppeling te maken tussen de gerealiseerde omzet en het verminderen van het brandstofverbruik. Wanneer Loonbedrijf Van Etten en Grondbewerkingsbedrijf Blijdorp een omzetstijging hebben, is een doelstelling om het gebruik van brandstof minder te laten stijgen.</w:t>
      </w:r>
    </w:p>
    <w:p w14:paraId="2F4FD3BD" w14:textId="557FF192" w:rsidR="00EB063D" w:rsidRDefault="00EB063D" w:rsidP="00EB063D">
      <w:pPr>
        <w:numPr>
          <w:ilvl w:val="0"/>
          <w:numId w:val="1"/>
        </w:numPr>
        <w:spacing w:before="100" w:beforeAutospacing="1" w:after="100" w:afterAutospacing="1" w:line="240" w:lineRule="auto"/>
        <w:ind w:left="0"/>
        <w:rPr>
          <w:rFonts w:ascii="Times New Roman" w:eastAsia="Times New Roman" w:hAnsi="Times New Roman" w:cs="Times New Roman"/>
          <w:color w:val="666666"/>
          <w:sz w:val="26"/>
          <w:szCs w:val="26"/>
          <w:lang w:eastAsia="nl-NL"/>
        </w:rPr>
      </w:pPr>
      <w:r w:rsidRPr="00EB063D">
        <w:rPr>
          <w:rFonts w:ascii="Times New Roman" w:eastAsia="Times New Roman" w:hAnsi="Times New Roman" w:cs="Times New Roman"/>
          <w:color w:val="666666"/>
          <w:sz w:val="26"/>
          <w:szCs w:val="26"/>
          <w:lang w:eastAsia="nl-NL"/>
        </w:rPr>
        <w:t>Inventariseren of naast 'het nieuwe rijden' voor chauffeurs ook het nieuwe 'draaien' voor kraanmachinisten, mogelijk is.</w:t>
      </w:r>
    </w:p>
    <w:p w14:paraId="286345EF" w14:textId="6DAD0BCF" w:rsidR="00F77A74" w:rsidRPr="00EB063D" w:rsidRDefault="00F77A74" w:rsidP="00EB063D">
      <w:pPr>
        <w:numPr>
          <w:ilvl w:val="0"/>
          <w:numId w:val="1"/>
        </w:numPr>
        <w:spacing w:before="100" w:beforeAutospacing="1" w:after="100" w:afterAutospacing="1" w:line="240" w:lineRule="auto"/>
        <w:ind w:left="0"/>
        <w:rPr>
          <w:rFonts w:ascii="Times New Roman" w:eastAsia="Times New Roman" w:hAnsi="Times New Roman" w:cs="Times New Roman"/>
          <w:color w:val="666666"/>
          <w:sz w:val="26"/>
          <w:szCs w:val="26"/>
          <w:lang w:eastAsia="nl-NL"/>
        </w:rPr>
      </w:pPr>
      <w:r>
        <w:rPr>
          <w:rFonts w:ascii="Times New Roman" w:eastAsia="Times New Roman" w:hAnsi="Times New Roman" w:cs="Times New Roman"/>
          <w:color w:val="666666"/>
          <w:sz w:val="26"/>
          <w:szCs w:val="26"/>
          <w:lang w:eastAsia="nl-NL"/>
        </w:rPr>
        <w:t xml:space="preserve">Wij </w:t>
      </w:r>
      <w:r w:rsidR="00A428DD">
        <w:rPr>
          <w:rFonts w:ascii="Times New Roman" w:eastAsia="Times New Roman" w:hAnsi="Times New Roman" w:cs="Times New Roman"/>
          <w:color w:val="666666"/>
          <w:sz w:val="26"/>
          <w:szCs w:val="26"/>
          <w:lang w:eastAsia="nl-NL"/>
        </w:rPr>
        <w:t>hebben</w:t>
      </w:r>
      <w:r>
        <w:rPr>
          <w:rFonts w:ascii="Times New Roman" w:eastAsia="Times New Roman" w:hAnsi="Times New Roman" w:cs="Times New Roman"/>
          <w:color w:val="666666"/>
          <w:sz w:val="26"/>
          <w:szCs w:val="26"/>
          <w:lang w:eastAsia="nl-NL"/>
        </w:rPr>
        <w:t xml:space="preserve"> onze hallen voorzien van LED-verlichting</w:t>
      </w:r>
    </w:p>
    <w:p w14:paraId="247AD6FC" w14:textId="77777777" w:rsidR="00607BEA" w:rsidRDefault="00EB063D" w:rsidP="00EB063D">
      <w:pPr>
        <w:numPr>
          <w:ilvl w:val="0"/>
          <w:numId w:val="1"/>
        </w:numPr>
        <w:spacing w:before="100" w:beforeAutospacing="1" w:after="100" w:afterAutospacing="1" w:line="240" w:lineRule="auto"/>
        <w:ind w:left="0"/>
        <w:rPr>
          <w:rFonts w:ascii="Times New Roman" w:eastAsia="Times New Roman" w:hAnsi="Times New Roman" w:cs="Times New Roman"/>
          <w:color w:val="666666"/>
          <w:sz w:val="26"/>
          <w:szCs w:val="26"/>
          <w:lang w:eastAsia="nl-NL"/>
        </w:rPr>
      </w:pPr>
      <w:r w:rsidRPr="00EB063D">
        <w:rPr>
          <w:rFonts w:ascii="Times New Roman" w:eastAsia="Times New Roman" w:hAnsi="Times New Roman" w:cs="Times New Roman"/>
          <w:color w:val="666666"/>
          <w:sz w:val="26"/>
          <w:szCs w:val="26"/>
          <w:lang w:eastAsia="nl-NL"/>
        </w:rPr>
        <w:t>Investeren in energiezuiniger materieel.</w:t>
      </w:r>
    </w:p>
    <w:p w14:paraId="7CB45849" w14:textId="5105DFD4" w:rsidR="0006677C" w:rsidRPr="0006677C" w:rsidRDefault="00607BEA" w:rsidP="00F77A74">
      <w:pPr>
        <w:rPr>
          <w:rFonts w:ascii="Times New Roman" w:eastAsia="Times New Roman" w:hAnsi="Times New Roman" w:cs="Times New Roman"/>
          <w:color w:val="666666"/>
          <w:sz w:val="26"/>
          <w:szCs w:val="26"/>
          <w:lang w:eastAsia="nl-NL"/>
        </w:rPr>
      </w:pPr>
      <w:r>
        <w:rPr>
          <w:rFonts w:ascii="Times New Roman" w:eastAsia="Times New Roman" w:hAnsi="Times New Roman" w:cs="Times New Roman"/>
          <w:color w:val="666666"/>
          <w:sz w:val="26"/>
          <w:szCs w:val="26"/>
          <w:lang w:eastAsia="nl-NL"/>
        </w:rPr>
        <w:br w:type="page"/>
      </w:r>
      <w:r w:rsidR="0006677C" w:rsidRPr="0006677C">
        <w:rPr>
          <w:rFonts w:ascii="Times New Roman" w:eastAsia="Times New Roman" w:hAnsi="Times New Roman" w:cs="Times New Roman"/>
          <w:color w:val="666666"/>
          <w:sz w:val="26"/>
          <w:szCs w:val="26"/>
          <w:lang w:eastAsia="nl-NL"/>
        </w:rPr>
        <w:lastRenderedPageBreak/>
        <w:t>Doelstellingen  CO2 reductie.</w:t>
      </w:r>
    </w:p>
    <w:p w14:paraId="2DABEE88" w14:textId="02969ADE" w:rsidR="0006677C" w:rsidRPr="00BC7AC7" w:rsidRDefault="0006677C" w:rsidP="0006677C">
      <w:pPr>
        <w:spacing w:before="100" w:beforeAutospacing="1" w:after="100" w:afterAutospacing="1" w:line="240" w:lineRule="auto"/>
        <w:rPr>
          <w:rFonts w:ascii="Times New Roman" w:eastAsia="Times New Roman" w:hAnsi="Times New Roman" w:cs="Times New Roman"/>
          <w:color w:val="666666"/>
          <w:sz w:val="26"/>
          <w:szCs w:val="26"/>
          <w:lang w:eastAsia="nl-NL"/>
        </w:rPr>
      </w:pPr>
      <w:r w:rsidRPr="00BC7AC7">
        <w:rPr>
          <w:rFonts w:ascii="Times New Roman" w:eastAsia="Times New Roman" w:hAnsi="Times New Roman" w:cs="Times New Roman"/>
          <w:color w:val="666666"/>
          <w:sz w:val="26"/>
          <w:szCs w:val="26"/>
          <w:lang w:eastAsia="nl-NL"/>
        </w:rPr>
        <w:t>Scope 1 + 2</w:t>
      </w:r>
      <w:r w:rsidR="00666644" w:rsidRPr="00BC7AC7">
        <w:rPr>
          <w:rFonts w:ascii="Times New Roman" w:eastAsia="Times New Roman" w:hAnsi="Times New Roman" w:cs="Times New Roman"/>
          <w:color w:val="666666"/>
          <w:sz w:val="26"/>
          <w:szCs w:val="26"/>
          <w:lang w:eastAsia="nl-NL"/>
        </w:rPr>
        <w:t xml:space="preserve"> + 3</w:t>
      </w:r>
    </w:p>
    <w:p w14:paraId="37EA98F8" w14:textId="77777777" w:rsidR="0006677C" w:rsidRPr="00BC7AC7" w:rsidRDefault="0006677C" w:rsidP="0006677C">
      <w:pPr>
        <w:pStyle w:val="Lijstalinea"/>
        <w:spacing w:before="376" w:line="228" w:lineRule="exact"/>
        <w:textAlignment w:val="baseline"/>
        <w:rPr>
          <w:rFonts w:ascii="Tahoma" w:eastAsia="Tahoma" w:hAnsi="Tahoma"/>
          <w:b/>
          <w:color w:val="000000"/>
          <w:spacing w:val="-4"/>
          <w:sz w:val="16"/>
        </w:rPr>
      </w:pPr>
    </w:p>
    <w:tbl>
      <w:tblPr>
        <w:tblStyle w:val="Tabelraster1"/>
        <w:tblW w:w="7508" w:type="dxa"/>
        <w:tblLook w:val="04A0" w:firstRow="1" w:lastRow="0" w:firstColumn="1" w:lastColumn="0" w:noHBand="0" w:noVBand="1"/>
      </w:tblPr>
      <w:tblGrid>
        <w:gridCol w:w="2405"/>
        <w:gridCol w:w="992"/>
        <w:gridCol w:w="1276"/>
        <w:gridCol w:w="1276"/>
        <w:gridCol w:w="1559"/>
      </w:tblGrid>
      <w:tr w:rsidR="005B6A8F" w:rsidRPr="00BC7AC7" w14:paraId="19DC35A1" w14:textId="77777777" w:rsidTr="00792904">
        <w:trPr>
          <w:trHeight w:val="304"/>
        </w:trPr>
        <w:tc>
          <w:tcPr>
            <w:tcW w:w="3397" w:type="dxa"/>
            <w:gridSpan w:val="2"/>
            <w:tcBorders>
              <w:right w:val="nil"/>
            </w:tcBorders>
            <w:noWrap/>
            <w:hideMark/>
          </w:tcPr>
          <w:p w14:paraId="08375E3A" w14:textId="77777777" w:rsidR="005B6A8F" w:rsidRPr="00BC7AC7" w:rsidRDefault="005B6A8F" w:rsidP="005B6A8F">
            <w:pPr>
              <w:textAlignment w:val="baseline"/>
              <w:rPr>
                <w:rFonts w:ascii="Tahoma" w:eastAsia="Tahoma" w:hAnsi="Tahoma"/>
                <w:b/>
                <w:color w:val="000000"/>
                <w:spacing w:val="-4"/>
                <w:sz w:val="20"/>
              </w:rPr>
            </w:pPr>
            <w:r w:rsidRPr="00BC7AC7">
              <w:rPr>
                <w:rFonts w:ascii="Tahoma" w:eastAsia="Tahoma" w:hAnsi="Tahoma"/>
                <w:b/>
                <w:color w:val="000000"/>
                <w:spacing w:val="-4"/>
                <w:sz w:val="20"/>
              </w:rPr>
              <w:t>Gram CO</w:t>
            </w:r>
            <w:r w:rsidRPr="00BC7AC7">
              <w:rPr>
                <w:rFonts w:ascii="Tahoma" w:eastAsia="Tahoma" w:hAnsi="Tahoma"/>
                <w:b/>
                <w:color w:val="000000"/>
                <w:spacing w:val="-4"/>
                <w:sz w:val="20"/>
                <w:vertAlign w:val="subscript"/>
              </w:rPr>
              <w:t>2</w:t>
            </w:r>
            <w:r w:rsidRPr="00BC7AC7">
              <w:rPr>
                <w:rFonts w:ascii="Tahoma" w:eastAsia="Tahoma" w:hAnsi="Tahoma"/>
                <w:b/>
                <w:color w:val="000000"/>
                <w:spacing w:val="-4"/>
                <w:sz w:val="20"/>
              </w:rPr>
              <w:t xml:space="preserve"> / €1000 omzet</w:t>
            </w:r>
          </w:p>
        </w:tc>
        <w:tc>
          <w:tcPr>
            <w:tcW w:w="1276" w:type="dxa"/>
            <w:tcBorders>
              <w:left w:val="nil"/>
              <w:right w:val="nil"/>
            </w:tcBorders>
            <w:noWrap/>
            <w:hideMark/>
          </w:tcPr>
          <w:p w14:paraId="4F26926A" w14:textId="77777777" w:rsidR="005B6A8F" w:rsidRPr="00BC7AC7" w:rsidRDefault="005B6A8F" w:rsidP="005B6A8F">
            <w:pPr>
              <w:textAlignment w:val="baseline"/>
              <w:rPr>
                <w:rFonts w:ascii="Tahoma" w:eastAsia="Tahoma" w:hAnsi="Tahoma"/>
                <w:b/>
                <w:color w:val="000000"/>
                <w:spacing w:val="-4"/>
                <w:sz w:val="20"/>
              </w:rPr>
            </w:pPr>
          </w:p>
        </w:tc>
        <w:tc>
          <w:tcPr>
            <w:tcW w:w="1276" w:type="dxa"/>
            <w:tcBorders>
              <w:left w:val="nil"/>
              <w:right w:val="nil"/>
            </w:tcBorders>
          </w:tcPr>
          <w:p w14:paraId="15CBC0F4" w14:textId="77777777" w:rsidR="005B6A8F" w:rsidRPr="00BC7AC7" w:rsidRDefault="005B6A8F" w:rsidP="005B6A8F">
            <w:pPr>
              <w:spacing w:before="376"/>
              <w:textAlignment w:val="baseline"/>
              <w:rPr>
                <w:rFonts w:ascii="Tahoma" w:eastAsia="Tahoma" w:hAnsi="Tahoma"/>
                <w:b/>
                <w:color w:val="000000"/>
                <w:spacing w:val="-4"/>
                <w:sz w:val="20"/>
              </w:rPr>
            </w:pPr>
          </w:p>
        </w:tc>
        <w:tc>
          <w:tcPr>
            <w:tcW w:w="1559" w:type="dxa"/>
            <w:tcBorders>
              <w:left w:val="nil"/>
            </w:tcBorders>
          </w:tcPr>
          <w:p w14:paraId="44B61F51" w14:textId="77777777" w:rsidR="005B6A8F" w:rsidRPr="00BC7AC7" w:rsidRDefault="005B6A8F" w:rsidP="005B6A8F">
            <w:pPr>
              <w:spacing w:before="376"/>
              <w:textAlignment w:val="baseline"/>
              <w:rPr>
                <w:rFonts w:ascii="Tahoma" w:eastAsia="Tahoma" w:hAnsi="Tahoma"/>
                <w:b/>
                <w:color w:val="000000"/>
                <w:spacing w:val="-4"/>
                <w:sz w:val="20"/>
              </w:rPr>
            </w:pPr>
          </w:p>
        </w:tc>
      </w:tr>
      <w:tr w:rsidR="005B6A8F" w:rsidRPr="00BC7AC7" w14:paraId="6B6BA7A2" w14:textId="77777777" w:rsidTr="00792904">
        <w:trPr>
          <w:trHeight w:val="255"/>
        </w:trPr>
        <w:tc>
          <w:tcPr>
            <w:tcW w:w="2405" w:type="dxa"/>
            <w:tcBorders>
              <w:top w:val="single" w:sz="4" w:space="0" w:color="auto"/>
            </w:tcBorders>
            <w:noWrap/>
            <w:vAlign w:val="center"/>
          </w:tcPr>
          <w:p w14:paraId="300214BE" w14:textId="77777777" w:rsidR="005B6A8F" w:rsidRPr="00BC7AC7" w:rsidRDefault="005B6A8F" w:rsidP="00792904">
            <w:pPr>
              <w:jc w:val="center"/>
              <w:textAlignment w:val="baseline"/>
              <w:rPr>
                <w:rFonts w:ascii="Tahoma" w:eastAsia="Tahoma" w:hAnsi="Tahoma"/>
                <w:b/>
                <w:bCs/>
                <w:color w:val="000000"/>
                <w:spacing w:val="-4"/>
                <w:sz w:val="20"/>
              </w:rPr>
            </w:pPr>
          </w:p>
        </w:tc>
        <w:tc>
          <w:tcPr>
            <w:tcW w:w="992" w:type="dxa"/>
            <w:noWrap/>
            <w:vAlign w:val="center"/>
          </w:tcPr>
          <w:p w14:paraId="5AE279CA" w14:textId="77777777" w:rsidR="005B6A8F" w:rsidRPr="00BC7AC7" w:rsidRDefault="005B6A8F" w:rsidP="00792904">
            <w:pPr>
              <w:jc w:val="center"/>
              <w:textAlignment w:val="baseline"/>
              <w:rPr>
                <w:rFonts w:ascii="Tahoma" w:eastAsia="Tahoma" w:hAnsi="Tahoma"/>
                <w:b/>
                <w:bCs/>
                <w:color w:val="000000"/>
                <w:spacing w:val="-4"/>
                <w:sz w:val="20"/>
              </w:rPr>
            </w:pPr>
            <w:r w:rsidRPr="00BC7AC7">
              <w:rPr>
                <w:rFonts w:ascii="Tahoma" w:eastAsia="Tahoma" w:hAnsi="Tahoma"/>
                <w:b/>
                <w:bCs/>
                <w:color w:val="000000"/>
                <w:spacing w:val="-4"/>
                <w:sz w:val="20"/>
              </w:rPr>
              <w:t>Doel</w:t>
            </w:r>
          </w:p>
        </w:tc>
        <w:tc>
          <w:tcPr>
            <w:tcW w:w="1276" w:type="dxa"/>
            <w:noWrap/>
            <w:vAlign w:val="center"/>
          </w:tcPr>
          <w:p w14:paraId="3D672023" w14:textId="77777777" w:rsidR="005B6A8F" w:rsidRPr="00BC7AC7" w:rsidRDefault="005B6A8F" w:rsidP="00792904">
            <w:pPr>
              <w:jc w:val="center"/>
              <w:textAlignment w:val="baseline"/>
              <w:rPr>
                <w:rFonts w:ascii="Tahoma" w:eastAsia="Tahoma" w:hAnsi="Tahoma"/>
                <w:b/>
                <w:bCs/>
                <w:color w:val="000000"/>
                <w:spacing w:val="-4"/>
                <w:sz w:val="20"/>
                <w:lang w:val="nl-NL"/>
              </w:rPr>
            </w:pPr>
            <w:r w:rsidRPr="00BC7AC7">
              <w:rPr>
                <w:rFonts w:ascii="Tahoma" w:eastAsia="Tahoma" w:hAnsi="Tahoma"/>
                <w:b/>
                <w:bCs/>
                <w:color w:val="000000"/>
                <w:spacing w:val="-4"/>
                <w:sz w:val="20"/>
                <w:lang w:val="nl-NL"/>
              </w:rPr>
              <w:t>Beoogede</w:t>
            </w:r>
          </w:p>
          <w:p w14:paraId="3848ABD1" w14:textId="77777777" w:rsidR="005B6A8F" w:rsidRPr="00BC7AC7" w:rsidRDefault="005B6A8F" w:rsidP="00792904">
            <w:pPr>
              <w:jc w:val="center"/>
              <w:textAlignment w:val="baseline"/>
              <w:rPr>
                <w:rFonts w:ascii="Tahoma" w:eastAsia="Tahoma" w:hAnsi="Tahoma"/>
                <w:b/>
                <w:bCs/>
                <w:color w:val="000000"/>
                <w:spacing w:val="-4"/>
                <w:sz w:val="20"/>
                <w:lang w:val="nl-NL"/>
              </w:rPr>
            </w:pPr>
            <w:r w:rsidRPr="00BC7AC7">
              <w:rPr>
                <w:rFonts w:ascii="Tahoma" w:eastAsia="Tahoma" w:hAnsi="Tahoma"/>
                <w:b/>
                <w:bCs/>
                <w:color w:val="000000"/>
                <w:spacing w:val="-4"/>
                <w:sz w:val="20"/>
                <w:lang w:val="nl-NL"/>
              </w:rPr>
              <w:t>besparing</w:t>
            </w:r>
          </w:p>
          <w:p w14:paraId="56F4473E" w14:textId="77777777" w:rsidR="005B6A8F" w:rsidRPr="00BC7AC7" w:rsidRDefault="005B6A8F" w:rsidP="00792904">
            <w:pPr>
              <w:jc w:val="center"/>
              <w:textAlignment w:val="baseline"/>
              <w:rPr>
                <w:rFonts w:ascii="Tahoma" w:eastAsia="Tahoma" w:hAnsi="Tahoma"/>
                <w:b/>
                <w:bCs/>
                <w:color w:val="000000"/>
                <w:spacing w:val="-4"/>
                <w:sz w:val="20"/>
                <w:lang w:val="nl-NL"/>
              </w:rPr>
            </w:pPr>
            <w:r w:rsidRPr="00BC7AC7">
              <w:rPr>
                <w:rFonts w:ascii="Tahoma" w:eastAsia="Tahoma" w:hAnsi="Tahoma"/>
                <w:b/>
                <w:bCs/>
                <w:color w:val="000000"/>
                <w:spacing w:val="-4"/>
                <w:sz w:val="20"/>
                <w:lang w:val="nl-NL"/>
              </w:rPr>
              <w:t>t.o.v. 2013</w:t>
            </w:r>
          </w:p>
        </w:tc>
        <w:tc>
          <w:tcPr>
            <w:tcW w:w="1276" w:type="dxa"/>
            <w:vAlign w:val="center"/>
          </w:tcPr>
          <w:p w14:paraId="745DF8F3" w14:textId="77777777" w:rsidR="005B6A8F" w:rsidRPr="00BC7AC7" w:rsidRDefault="005B6A8F" w:rsidP="00792904">
            <w:pPr>
              <w:jc w:val="center"/>
              <w:textAlignment w:val="baseline"/>
              <w:rPr>
                <w:rFonts w:ascii="Tahoma" w:eastAsia="Tahoma" w:hAnsi="Tahoma"/>
                <w:b/>
                <w:bCs/>
                <w:color w:val="000000"/>
                <w:spacing w:val="-4"/>
                <w:sz w:val="20"/>
              </w:rPr>
            </w:pPr>
            <w:r w:rsidRPr="00BC7AC7">
              <w:rPr>
                <w:rFonts w:ascii="Tahoma" w:eastAsia="Tahoma" w:hAnsi="Tahoma"/>
                <w:b/>
                <w:bCs/>
                <w:color w:val="000000"/>
                <w:spacing w:val="-4"/>
                <w:sz w:val="20"/>
              </w:rPr>
              <w:t>Realisatie</w:t>
            </w:r>
          </w:p>
        </w:tc>
        <w:tc>
          <w:tcPr>
            <w:tcW w:w="1559" w:type="dxa"/>
            <w:vAlign w:val="center"/>
          </w:tcPr>
          <w:p w14:paraId="542483E7" w14:textId="77777777" w:rsidR="005B6A8F" w:rsidRPr="00BC7AC7" w:rsidRDefault="005B6A8F" w:rsidP="00792904">
            <w:pPr>
              <w:jc w:val="center"/>
              <w:textAlignment w:val="baseline"/>
              <w:rPr>
                <w:rFonts w:ascii="Tahoma" w:eastAsia="Tahoma" w:hAnsi="Tahoma"/>
                <w:b/>
                <w:bCs/>
                <w:color w:val="000000"/>
                <w:spacing w:val="-4"/>
                <w:sz w:val="20"/>
                <w:lang w:val="nl-NL"/>
              </w:rPr>
            </w:pPr>
            <w:r w:rsidRPr="00BC7AC7">
              <w:rPr>
                <w:rFonts w:ascii="Tahoma" w:eastAsia="Tahoma" w:hAnsi="Tahoma"/>
                <w:b/>
                <w:bCs/>
                <w:color w:val="000000"/>
                <w:spacing w:val="-4"/>
                <w:sz w:val="20"/>
                <w:lang w:val="nl-NL"/>
              </w:rPr>
              <w:t>Beoogede</w:t>
            </w:r>
          </w:p>
          <w:p w14:paraId="17E5180D" w14:textId="77777777" w:rsidR="005B6A8F" w:rsidRPr="00BC7AC7" w:rsidRDefault="005B6A8F" w:rsidP="00792904">
            <w:pPr>
              <w:jc w:val="center"/>
              <w:textAlignment w:val="baseline"/>
              <w:rPr>
                <w:rFonts w:ascii="Tahoma" w:eastAsia="Tahoma" w:hAnsi="Tahoma"/>
                <w:b/>
                <w:bCs/>
                <w:color w:val="000000"/>
                <w:spacing w:val="-4"/>
                <w:sz w:val="20"/>
                <w:lang w:val="nl-NL"/>
              </w:rPr>
            </w:pPr>
            <w:r w:rsidRPr="00BC7AC7">
              <w:rPr>
                <w:rFonts w:ascii="Tahoma" w:eastAsia="Tahoma" w:hAnsi="Tahoma"/>
                <w:b/>
                <w:bCs/>
                <w:color w:val="000000"/>
                <w:spacing w:val="-4"/>
                <w:sz w:val="20"/>
                <w:lang w:val="nl-NL"/>
              </w:rPr>
              <w:t>besparing</w:t>
            </w:r>
          </w:p>
          <w:p w14:paraId="4AD86A1D" w14:textId="77777777" w:rsidR="005B6A8F" w:rsidRPr="00BC7AC7" w:rsidRDefault="005B6A8F" w:rsidP="00792904">
            <w:pPr>
              <w:jc w:val="center"/>
              <w:textAlignment w:val="baseline"/>
              <w:rPr>
                <w:rFonts w:ascii="Tahoma" w:eastAsia="Tahoma" w:hAnsi="Tahoma"/>
                <w:b/>
                <w:bCs/>
                <w:color w:val="000000"/>
                <w:spacing w:val="-4"/>
                <w:sz w:val="20"/>
                <w:lang w:val="nl-NL"/>
              </w:rPr>
            </w:pPr>
            <w:r w:rsidRPr="00BC7AC7">
              <w:rPr>
                <w:rFonts w:ascii="Tahoma" w:eastAsia="Tahoma" w:hAnsi="Tahoma"/>
                <w:b/>
                <w:bCs/>
                <w:color w:val="000000"/>
                <w:spacing w:val="-4"/>
                <w:sz w:val="20"/>
                <w:lang w:val="nl-NL"/>
              </w:rPr>
              <w:t>t.o.v. 2013</w:t>
            </w:r>
          </w:p>
        </w:tc>
      </w:tr>
      <w:tr w:rsidR="00792904" w:rsidRPr="00BC7AC7" w14:paraId="02F44B77" w14:textId="77777777" w:rsidTr="00792904">
        <w:trPr>
          <w:trHeight w:val="255"/>
        </w:trPr>
        <w:tc>
          <w:tcPr>
            <w:tcW w:w="2405" w:type="dxa"/>
            <w:noWrap/>
            <w:hideMark/>
          </w:tcPr>
          <w:p w14:paraId="1E06C45B" w14:textId="6ECFD1F9" w:rsidR="00792904" w:rsidRPr="00BC7AC7" w:rsidRDefault="00792904" w:rsidP="00792904">
            <w:pPr>
              <w:spacing w:before="376"/>
              <w:jc w:val="center"/>
              <w:textAlignment w:val="baseline"/>
              <w:rPr>
                <w:rFonts w:ascii="Tahoma" w:eastAsia="Tahoma" w:hAnsi="Tahoma"/>
                <w:color w:val="000000"/>
                <w:spacing w:val="-4"/>
                <w:sz w:val="20"/>
              </w:rPr>
            </w:pPr>
            <w:r w:rsidRPr="00BC7AC7">
              <w:rPr>
                <w:noProof/>
              </w:rPr>
              <w:t>2013</w:t>
            </w:r>
          </w:p>
        </w:tc>
        <w:tc>
          <w:tcPr>
            <w:tcW w:w="992" w:type="dxa"/>
            <w:noWrap/>
            <w:hideMark/>
          </w:tcPr>
          <w:p w14:paraId="04A79B2C" w14:textId="4DDCFB25" w:rsidR="00792904" w:rsidRPr="00BC7AC7" w:rsidRDefault="00792904" w:rsidP="00792904">
            <w:pPr>
              <w:spacing w:before="376"/>
              <w:jc w:val="center"/>
              <w:textAlignment w:val="baseline"/>
              <w:rPr>
                <w:rFonts w:ascii="Tahoma" w:eastAsia="Tahoma" w:hAnsi="Tahoma"/>
                <w:color w:val="000000"/>
                <w:spacing w:val="-4"/>
                <w:sz w:val="20"/>
              </w:rPr>
            </w:pPr>
            <w:r w:rsidRPr="00BC7AC7">
              <w:rPr>
                <w:noProof/>
              </w:rPr>
              <w:t>208</w:t>
            </w:r>
          </w:p>
        </w:tc>
        <w:tc>
          <w:tcPr>
            <w:tcW w:w="1276" w:type="dxa"/>
            <w:noWrap/>
            <w:hideMark/>
          </w:tcPr>
          <w:p w14:paraId="2CF89EBC" w14:textId="3BC1DB3B" w:rsidR="00792904" w:rsidRPr="00BC7AC7" w:rsidRDefault="00792904" w:rsidP="00792904">
            <w:pPr>
              <w:spacing w:before="376"/>
              <w:jc w:val="center"/>
              <w:textAlignment w:val="baseline"/>
              <w:rPr>
                <w:rFonts w:ascii="Tahoma" w:eastAsia="Tahoma" w:hAnsi="Tahoma"/>
                <w:color w:val="000000"/>
                <w:spacing w:val="-4"/>
                <w:sz w:val="20"/>
              </w:rPr>
            </w:pPr>
            <w:r w:rsidRPr="00BC7AC7">
              <w:rPr>
                <w:noProof/>
              </w:rPr>
              <w:t>-</w:t>
            </w:r>
          </w:p>
        </w:tc>
        <w:tc>
          <w:tcPr>
            <w:tcW w:w="1276" w:type="dxa"/>
          </w:tcPr>
          <w:p w14:paraId="58EE4B2B" w14:textId="17043077" w:rsidR="00792904" w:rsidRPr="00BC7AC7" w:rsidRDefault="00792904" w:rsidP="00792904">
            <w:pPr>
              <w:spacing w:before="376"/>
              <w:jc w:val="center"/>
              <w:textAlignment w:val="baseline"/>
              <w:rPr>
                <w:rFonts w:ascii="Tahoma" w:eastAsia="Tahoma" w:hAnsi="Tahoma"/>
                <w:color w:val="000000"/>
                <w:spacing w:val="-4"/>
                <w:sz w:val="20"/>
              </w:rPr>
            </w:pPr>
          </w:p>
        </w:tc>
        <w:tc>
          <w:tcPr>
            <w:tcW w:w="1559" w:type="dxa"/>
          </w:tcPr>
          <w:p w14:paraId="48C6854A" w14:textId="16C40A64" w:rsidR="00792904" w:rsidRPr="00BC7AC7" w:rsidRDefault="00792904" w:rsidP="00792904">
            <w:pPr>
              <w:spacing w:before="376"/>
              <w:jc w:val="center"/>
              <w:textAlignment w:val="baseline"/>
              <w:rPr>
                <w:rFonts w:ascii="Tahoma" w:eastAsia="Tahoma" w:hAnsi="Tahoma"/>
                <w:color w:val="000000"/>
                <w:spacing w:val="-4"/>
                <w:sz w:val="20"/>
              </w:rPr>
            </w:pPr>
          </w:p>
        </w:tc>
      </w:tr>
      <w:tr w:rsidR="000271ED" w:rsidRPr="00BC7AC7" w14:paraId="713E85A3" w14:textId="77777777" w:rsidTr="000271ED">
        <w:trPr>
          <w:trHeight w:val="255"/>
        </w:trPr>
        <w:tc>
          <w:tcPr>
            <w:tcW w:w="2405" w:type="dxa"/>
            <w:noWrap/>
          </w:tcPr>
          <w:p w14:paraId="70FFD710" w14:textId="464F0A29" w:rsidR="000271ED" w:rsidRPr="00BC7AC7" w:rsidRDefault="000271ED" w:rsidP="000271ED">
            <w:pPr>
              <w:spacing w:before="376"/>
              <w:jc w:val="center"/>
              <w:textAlignment w:val="baseline"/>
              <w:rPr>
                <w:rFonts w:ascii="Tahoma" w:eastAsia="Tahoma" w:hAnsi="Tahoma"/>
                <w:color w:val="000000"/>
                <w:spacing w:val="-4"/>
                <w:sz w:val="20"/>
              </w:rPr>
            </w:pPr>
            <w:r w:rsidRPr="00BC7AC7">
              <w:rPr>
                <w:noProof/>
              </w:rPr>
              <w:t>2021</w:t>
            </w:r>
          </w:p>
        </w:tc>
        <w:tc>
          <w:tcPr>
            <w:tcW w:w="992" w:type="dxa"/>
            <w:noWrap/>
          </w:tcPr>
          <w:p w14:paraId="61459139" w14:textId="77777777" w:rsidR="000271ED" w:rsidRPr="00BC7AC7" w:rsidRDefault="000271ED" w:rsidP="000271ED">
            <w:pPr>
              <w:jc w:val="center"/>
              <w:rPr>
                <w:strike/>
                <w:noProof/>
              </w:rPr>
            </w:pPr>
            <w:r w:rsidRPr="00BC7AC7">
              <w:rPr>
                <w:strike/>
                <w:noProof/>
              </w:rPr>
              <w:t>157</w:t>
            </w:r>
          </w:p>
          <w:p w14:paraId="21EA81EB" w14:textId="44E118BD" w:rsidR="000271ED" w:rsidRPr="00BC7AC7" w:rsidRDefault="000271ED" w:rsidP="000271ED">
            <w:pPr>
              <w:spacing w:before="376"/>
              <w:jc w:val="center"/>
              <w:textAlignment w:val="baseline"/>
              <w:rPr>
                <w:rFonts w:ascii="Tahoma" w:eastAsia="Tahoma" w:hAnsi="Tahoma"/>
                <w:color w:val="000000"/>
                <w:spacing w:val="-4"/>
                <w:sz w:val="20"/>
              </w:rPr>
            </w:pPr>
            <w:r w:rsidRPr="00BC7AC7">
              <w:rPr>
                <w:noProof/>
              </w:rPr>
              <w:t>163</w:t>
            </w:r>
          </w:p>
        </w:tc>
        <w:tc>
          <w:tcPr>
            <w:tcW w:w="1276" w:type="dxa"/>
            <w:noWrap/>
          </w:tcPr>
          <w:p w14:paraId="0A7EED1F" w14:textId="77777777" w:rsidR="000271ED" w:rsidRPr="00BC7AC7" w:rsidRDefault="000271ED" w:rsidP="000271ED">
            <w:pPr>
              <w:jc w:val="center"/>
              <w:rPr>
                <w:strike/>
                <w:noProof/>
              </w:rPr>
            </w:pPr>
            <w:r w:rsidRPr="00BC7AC7">
              <w:rPr>
                <w:strike/>
                <w:noProof/>
              </w:rPr>
              <w:t>25%</w:t>
            </w:r>
          </w:p>
          <w:p w14:paraId="3C86DD94" w14:textId="425B654D" w:rsidR="000271ED" w:rsidRPr="00BC7AC7" w:rsidRDefault="000271ED" w:rsidP="000271ED">
            <w:pPr>
              <w:spacing w:before="376"/>
              <w:jc w:val="center"/>
              <w:textAlignment w:val="baseline"/>
              <w:rPr>
                <w:rFonts w:ascii="Tahoma" w:eastAsia="Tahoma" w:hAnsi="Tahoma"/>
                <w:color w:val="000000"/>
                <w:spacing w:val="-4"/>
                <w:sz w:val="20"/>
              </w:rPr>
            </w:pPr>
            <w:r w:rsidRPr="00BC7AC7">
              <w:rPr>
                <w:noProof/>
              </w:rPr>
              <w:t>16,8%</w:t>
            </w:r>
          </w:p>
        </w:tc>
        <w:tc>
          <w:tcPr>
            <w:tcW w:w="1276" w:type="dxa"/>
          </w:tcPr>
          <w:p w14:paraId="1CEF3C00" w14:textId="474A06CD" w:rsidR="000271ED" w:rsidRPr="00BC7AC7" w:rsidRDefault="000271ED" w:rsidP="000271ED">
            <w:pPr>
              <w:spacing w:before="376"/>
              <w:jc w:val="center"/>
              <w:textAlignment w:val="baseline"/>
              <w:rPr>
                <w:rFonts w:ascii="Tahoma" w:eastAsia="Tahoma" w:hAnsi="Tahoma"/>
                <w:color w:val="000000"/>
                <w:spacing w:val="-4"/>
                <w:sz w:val="20"/>
              </w:rPr>
            </w:pPr>
            <w:r w:rsidRPr="00BC7AC7">
              <w:rPr>
                <w:noProof/>
              </w:rPr>
              <w:t>168</w:t>
            </w:r>
          </w:p>
        </w:tc>
        <w:tc>
          <w:tcPr>
            <w:tcW w:w="1559" w:type="dxa"/>
          </w:tcPr>
          <w:p w14:paraId="20DD9F8C" w14:textId="7DF3B96A" w:rsidR="000271ED" w:rsidRPr="00BC7AC7" w:rsidRDefault="000271ED" w:rsidP="000271ED">
            <w:pPr>
              <w:spacing w:before="376"/>
              <w:jc w:val="center"/>
              <w:textAlignment w:val="baseline"/>
              <w:rPr>
                <w:rFonts w:ascii="Tahoma" w:eastAsia="Tahoma" w:hAnsi="Tahoma"/>
                <w:color w:val="000000"/>
                <w:spacing w:val="-4"/>
                <w:sz w:val="20"/>
              </w:rPr>
            </w:pPr>
            <w:r w:rsidRPr="00BC7AC7">
              <w:rPr>
                <w:noProof/>
              </w:rPr>
              <w:t>19,2%</w:t>
            </w:r>
          </w:p>
        </w:tc>
      </w:tr>
      <w:tr w:rsidR="000271ED" w:rsidRPr="00BC7AC7" w14:paraId="6C429EE0" w14:textId="77777777" w:rsidTr="000271ED">
        <w:trPr>
          <w:trHeight w:val="255"/>
        </w:trPr>
        <w:tc>
          <w:tcPr>
            <w:tcW w:w="2405" w:type="dxa"/>
            <w:noWrap/>
          </w:tcPr>
          <w:p w14:paraId="0699BEDF" w14:textId="681D9377" w:rsidR="000271ED" w:rsidRPr="00BC7AC7" w:rsidRDefault="000271ED" w:rsidP="000271ED">
            <w:pPr>
              <w:spacing w:before="376"/>
              <w:jc w:val="center"/>
              <w:textAlignment w:val="baseline"/>
              <w:rPr>
                <w:rFonts w:ascii="Tahoma" w:eastAsia="Tahoma" w:hAnsi="Tahoma"/>
                <w:color w:val="000000"/>
                <w:spacing w:val="-4"/>
                <w:sz w:val="20"/>
              </w:rPr>
            </w:pPr>
            <w:r w:rsidRPr="00BC7AC7">
              <w:rPr>
                <w:noProof/>
              </w:rPr>
              <w:t>2022</w:t>
            </w:r>
          </w:p>
        </w:tc>
        <w:tc>
          <w:tcPr>
            <w:tcW w:w="992" w:type="dxa"/>
            <w:noWrap/>
          </w:tcPr>
          <w:p w14:paraId="51AF23A1" w14:textId="77777777" w:rsidR="000271ED" w:rsidRPr="00BC7AC7" w:rsidRDefault="000271ED" w:rsidP="000271ED">
            <w:pPr>
              <w:jc w:val="center"/>
              <w:rPr>
                <w:strike/>
                <w:noProof/>
              </w:rPr>
            </w:pPr>
            <w:r w:rsidRPr="00BC7AC7">
              <w:rPr>
                <w:strike/>
                <w:noProof/>
              </w:rPr>
              <w:t>170</w:t>
            </w:r>
          </w:p>
          <w:p w14:paraId="449E691A" w14:textId="46F6CACE" w:rsidR="000271ED" w:rsidRPr="00BC7AC7" w:rsidRDefault="000271ED" w:rsidP="000271ED">
            <w:pPr>
              <w:spacing w:before="376"/>
              <w:jc w:val="center"/>
              <w:textAlignment w:val="baseline"/>
              <w:rPr>
                <w:rFonts w:ascii="Tahoma" w:eastAsia="Tahoma" w:hAnsi="Tahoma"/>
                <w:color w:val="000000"/>
                <w:spacing w:val="-4"/>
                <w:sz w:val="20"/>
              </w:rPr>
            </w:pPr>
            <w:r w:rsidRPr="00BC7AC7">
              <w:rPr>
                <w:noProof/>
              </w:rPr>
              <w:t>167</w:t>
            </w:r>
          </w:p>
        </w:tc>
        <w:tc>
          <w:tcPr>
            <w:tcW w:w="1276" w:type="dxa"/>
            <w:noWrap/>
          </w:tcPr>
          <w:p w14:paraId="04CF0938" w14:textId="77777777" w:rsidR="000271ED" w:rsidRPr="00BC7AC7" w:rsidRDefault="000271ED" w:rsidP="000271ED">
            <w:pPr>
              <w:jc w:val="center"/>
              <w:rPr>
                <w:strike/>
                <w:noProof/>
              </w:rPr>
            </w:pPr>
            <w:r w:rsidRPr="00BC7AC7">
              <w:rPr>
                <w:strike/>
                <w:noProof/>
              </w:rPr>
              <w:t>18,3%</w:t>
            </w:r>
          </w:p>
          <w:p w14:paraId="15672D79" w14:textId="15A16EA8" w:rsidR="000271ED" w:rsidRPr="00BC7AC7" w:rsidRDefault="000271ED" w:rsidP="000271ED">
            <w:pPr>
              <w:spacing w:before="376"/>
              <w:jc w:val="center"/>
              <w:textAlignment w:val="baseline"/>
              <w:rPr>
                <w:rFonts w:ascii="Tahoma" w:eastAsia="Tahoma" w:hAnsi="Tahoma"/>
                <w:color w:val="000000"/>
                <w:spacing w:val="-4"/>
                <w:sz w:val="20"/>
              </w:rPr>
            </w:pPr>
            <w:r w:rsidRPr="00BC7AC7">
              <w:rPr>
                <w:noProof/>
              </w:rPr>
              <w:t>19,71%</w:t>
            </w:r>
          </w:p>
        </w:tc>
        <w:tc>
          <w:tcPr>
            <w:tcW w:w="1276" w:type="dxa"/>
          </w:tcPr>
          <w:p w14:paraId="32483ADF" w14:textId="6D1ED72E" w:rsidR="000271ED" w:rsidRPr="00BC7AC7" w:rsidRDefault="000271ED" w:rsidP="000271ED">
            <w:pPr>
              <w:spacing w:before="376"/>
              <w:jc w:val="center"/>
              <w:textAlignment w:val="baseline"/>
              <w:rPr>
                <w:rFonts w:ascii="Tahoma" w:eastAsia="Tahoma" w:hAnsi="Tahoma"/>
                <w:color w:val="000000"/>
                <w:spacing w:val="-4"/>
                <w:sz w:val="20"/>
              </w:rPr>
            </w:pPr>
            <w:r w:rsidRPr="00BC7AC7">
              <w:rPr>
                <w:rFonts w:ascii="Tahoma" w:eastAsia="Tahoma" w:hAnsi="Tahoma"/>
                <w:color w:val="000000"/>
                <w:spacing w:val="-4"/>
                <w:sz w:val="20"/>
              </w:rPr>
              <w:t>166</w:t>
            </w:r>
          </w:p>
        </w:tc>
        <w:tc>
          <w:tcPr>
            <w:tcW w:w="1559" w:type="dxa"/>
          </w:tcPr>
          <w:p w14:paraId="18075488" w14:textId="5331E9BC" w:rsidR="000271ED" w:rsidRPr="00BC7AC7" w:rsidRDefault="000271ED" w:rsidP="000271ED">
            <w:pPr>
              <w:spacing w:before="376"/>
              <w:jc w:val="center"/>
              <w:textAlignment w:val="baseline"/>
              <w:rPr>
                <w:rFonts w:ascii="Tahoma" w:eastAsia="Tahoma" w:hAnsi="Tahoma"/>
                <w:color w:val="000000"/>
                <w:spacing w:val="-4"/>
                <w:sz w:val="20"/>
              </w:rPr>
            </w:pPr>
            <w:r w:rsidRPr="00BC7AC7">
              <w:rPr>
                <w:rFonts w:ascii="Tahoma" w:eastAsia="Tahoma" w:hAnsi="Tahoma"/>
                <w:color w:val="000000"/>
                <w:spacing w:val="-4"/>
                <w:sz w:val="20"/>
              </w:rPr>
              <w:t>20,25%</w:t>
            </w:r>
          </w:p>
        </w:tc>
      </w:tr>
      <w:tr w:rsidR="000271ED" w:rsidRPr="00BC7AC7" w14:paraId="36804D15" w14:textId="77777777" w:rsidTr="000271ED">
        <w:trPr>
          <w:trHeight w:val="545"/>
        </w:trPr>
        <w:tc>
          <w:tcPr>
            <w:tcW w:w="2405" w:type="dxa"/>
            <w:noWrap/>
          </w:tcPr>
          <w:p w14:paraId="52D5DD6D" w14:textId="10F6449A" w:rsidR="000271ED" w:rsidRPr="00BC7AC7" w:rsidRDefault="000271ED" w:rsidP="000271ED">
            <w:pPr>
              <w:spacing w:before="376"/>
              <w:jc w:val="center"/>
              <w:textAlignment w:val="baseline"/>
              <w:rPr>
                <w:rFonts w:ascii="Tahoma" w:eastAsia="Tahoma" w:hAnsi="Tahoma"/>
                <w:color w:val="000000"/>
                <w:spacing w:val="-4"/>
                <w:sz w:val="20"/>
              </w:rPr>
            </w:pPr>
            <w:r w:rsidRPr="00BC7AC7">
              <w:rPr>
                <w:noProof/>
              </w:rPr>
              <w:t>2023</w:t>
            </w:r>
          </w:p>
        </w:tc>
        <w:tc>
          <w:tcPr>
            <w:tcW w:w="992" w:type="dxa"/>
            <w:noWrap/>
          </w:tcPr>
          <w:p w14:paraId="52B29558" w14:textId="77777777" w:rsidR="000271ED" w:rsidRPr="00BC7AC7" w:rsidRDefault="000271ED" w:rsidP="000271ED">
            <w:pPr>
              <w:jc w:val="center"/>
              <w:rPr>
                <w:strike/>
                <w:noProof/>
              </w:rPr>
            </w:pPr>
            <w:r w:rsidRPr="00BC7AC7">
              <w:rPr>
                <w:strike/>
                <w:noProof/>
              </w:rPr>
              <w:t>167</w:t>
            </w:r>
          </w:p>
          <w:p w14:paraId="1D0F97FB" w14:textId="28184329" w:rsidR="000271ED" w:rsidRPr="00BC7AC7" w:rsidRDefault="000271ED" w:rsidP="000271ED">
            <w:pPr>
              <w:spacing w:before="376"/>
              <w:jc w:val="center"/>
              <w:textAlignment w:val="baseline"/>
              <w:rPr>
                <w:rFonts w:ascii="Tahoma" w:eastAsia="Tahoma" w:hAnsi="Tahoma"/>
                <w:color w:val="000000"/>
                <w:spacing w:val="-4"/>
                <w:sz w:val="20"/>
              </w:rPr>
            </w:pPr>
            <w:r w:rsidRPr="00BC7AC7">
              <w:rPr>
                <w:noProof/>
              </w:rPr>
              <w:t>166</w:t>
            </w:r>
          </w:p>
        </w:tc>
        <w:tc>
          <w:tcPr>
            <w:tcW w:w="1276" w:type="dxa"/>
            <w:noWrap/>
          </w:tcPr>
          <w:p w14:paraId="45D54ED7" w14:textId="77777777" w:rsidR="000271ED" w:rsidRPr="00BC7AC7" w:rsidRDefault="000271ED" w:rsidP="000271ED">
            <w:pPr>
              <w:jc w:val="center"/>
              <w:rPr>
                <w:strike/>
                <w:noProof/>
              </w:rPr>
            </w:pPr>
            <w:r w:rsidRPr="00BC7AC7">
              <w:rPr>
                <w:strike/>
                <w:noProof/>
              </w:rPr>
              <w:t>19,7%</w:t>
            </w:r>
          </w:p>
          <w:p w14:paraId="7178BEE4" w14:textId="233E6ADE" w:rsidR="000271ED" w:rsidRPr="00BC7AC7" w:rsidRDefault="000271ED" w:rsidP="000271ED">
            <w:pPr>
              <w:spacing w:before="376"/>
              <w:jc w:val="center"/>
              <w:textAlignment w:val="baseline"/>
              <w:rPr>
                <w:rFonts w:ascii="Tahoma" w:eastAsia="Tahoma" w:hAnsi="Tahoma"/>
                <w:color w:val="000000"/>
                <w:spacing w:val="-4"/>
                <w:sz w:val="20"/>
              </w:rPr>
            </w:pPr>
            <w:r w:rsidRPr="00BC7AC7">
              <w:rPr>
                <w:noProof/>
              </w:rPr>
              <w:t>20,19%</w:t>
            </w:r>
          </w:p>
        </w:tc>
        <w:tc>
          <w:tcPr>
            <w:tcW w:w="1276" w:type="dxa"/>
          </w:tcPr>
          <w:p w14:paraId="40402558" w14:textId="33DEB50C" w:rsidR="000271ED" w:rsidRPr="00BC7AC7" w:rsidRDefault="004D4DC8" w:rsidP="000271ED">
            <w:pPr>
              <w:spacing w:before="376"/>
              <w:jc w:val="center"/>
              <w:textAlignment w:val="baseline"/>
              <w:rPr>
                <w:rFonts w:ascii="Tahoma" w:eastAsia="Tahoma" w:hAnsi="Tahoma"/>
                <w:color w:val="000000"/>
                <w:spacing w:val="-4"/>
                <w:sz w:val="20"/>
              </w:rPr>
            </w:pPr>
            <w:r w:rsidRPr="00BC7AC7">
              <w:rPr>
                <w:rFonts w:ascii="Tahoma" w:eastAsia="Tahoma" w:hAnsi="Tahoma"/>
                <w:color w:val="000000"/>
                <w:spacing w:val="-4"/>
                <w:sz w:val="20"/>
              </w:rPr>
              <w:t>148</w:t>
            </w:r>
          </w:p>
        </w:tc>
        <w:tc>
          <w:tcPr>
            <w:tcW w:w="1559" w:type="dxa"/>
          </w:tcPr>
          <w:p w14:paraId="77E565D3" w14:textId="40064FB9" w:rsidR="000271ED" w:rsidRPr="00BC7AC7" w:rsidRDefault="004D4DC8" w:rsidP="000271ED">
            <w:pPr>
              <w:spacing w:before="376"/>
              <w:jc w:val="center"/>
              <w:textAlignment w:val="baseline"/>
              <w:rPr>
                <w:rFonts w:ascii="Tahoma" w:eastAsia="Tahoma" w:hAnsi="Tahoma"/>
                <w:color w:val="000000"/>
                <w:spacing w:val="-4"/>
                <w:sz w:val="20"/>
              </w:rPr>
            </w:pPr>
            <w:r w:rsidRPr="00BC7AC7">
              <w:rPr>
                <w:rFonts w:ascii="Tahoma" w:eastAsia="Tahoma" w:hAnsi="Tahoma"/>
                <w:color w:val="000000"/>
                <w:spacing w:val="-4"/>
                <w:sz w:val="20"/>
              </w:rPr>
              <w:t>28,8%</w:t>
            </w:r>
          </w:p>
        </w:tc>
      </w:tr>
      <w:tr w:rsidR="000271ED" w:rsidRPr="00BC7AC7" w14:paraId="07F718ED" w14:textId="77777777" w:rsidTr="000271ED">
        <w:trPr>
          <w:trHeight w:val="255"/>
        </w:trPr>
        <w:tc>
          <w:tcPr>
            <w:tcW w:w="2405" w:type="dxa"/>
            <w:noWrap/>
          </w:tcPr>
          <w:p w14:paraId="7319FB2A" w14:textId="599CBB65" w:rsidR="000271ED" w:rsidRPr="00BC7AC7" w:rsidRDefault="000271ED" w:rsidP="000271ED">
            <w:pPr>
              <w:spacing w:before="376"/>
              <w:jc w:val="center"/>
              <w:textAlignment w:val="baseline"/>
              <w:rPr>
                <w:rFonts w:ascii="Tahoma" w:eastAsia="Tahoma" w:hAnsi="Tahoma"/>
                <w:color w:val="000000"/>
                <w:spacing w:val="-4"/>
                <w:sz w:val="20"/>
              </w:rPr>
            </w:pPr>
            <w:r w:rsidRPr="00BC7AC7">
              <w:rPr>
                <w:noProof/>
              </w:rPr>
              <w:t>2024</w:t>
            </w:r>
          </w:p>
        </w:tc>
        <w:tc>
          <w:tcPr>
            <w:tcW w:w="992" w:type="dxa"/>
            <w:noWrap/>
          </w:tcPr>
          <w:p w14:paraId="6CCDF053" w14:textId="77777777" w:rsidR="000271ED" w:rsidRPr="00BC7AC7" w:rsidRDefault="000271ED" w:rsidP="000271ED">
            <w:pPr>
              <w:jc w:val="center"/>
              <w:rPr>
                <w:strike/>
                <w:noProof/>
              </w:rPr>
            </w:pPr>
            <w:r w:rsidRPr="00BC7AC7">
              <w:rPr>
                <w:strike/>
                <w:noProof/>
              </w:rPr>
              <w:t>163</w:t>
            </w:r>
          </w:p>
          <w:p w14:paraId="1D181F4F" w14:textId="338989CD" w:rsidR="000271ED" w:rsidRPr="00BC7AC7" w:rsidRDefault="000271ED" w:rsidP="000271ED">
            <w:pPr>
              <w:spacing w:before="376"/>
              <w:jc w:val="center"/>
              <w:textAlignment w:val="baseline"/>
              <w:rPr>
                <w:rFonts w:ascii="Tahoma" w:eastAsia="Tahoma" w:hAnsi="Tahoma"/>
                <w:color w:val="000000"/>
                <w:spacing w:val="-4"/>
                <w:sz w:val="20"/>
              </w:rPr>
            </w:pPr>
            <w:r w:rsidRPr="00BC7AC7">
              <w:rPr>
                <w:noProof/>
              </w:rPr>
              <w:t>165</w:t>
            </w:r>
          </w:p>
        </w:tc>
        <w:tc>
          <w:tcPr>
            <w:tcW w:w="1276" w:type="dxa"/>
            <w:noWrap/>
          </w:tcPr>
          <w:p w14:paraId="3E785BCF" w14:textId="77777777" w:rsidR="000271ED" w:rsidRPr="00BC7AC7" w:rsidRDefault="000271ED" w:rsidP="000271ED">
            <w:pPr>
              <w:jc w:val="center"/>
              <w:rPr>
                <w:strike/>
                <w:noProof/>
              </w:rPr>
            </w:pPr>
            <w:r w:rsidRPr="00BC7AC7">
              <w:rPr>
                <w:strike/>
                <w:noProof/>
              </w:rPr>
              <w:t>21,6%</w:t>
            </w:r>
          </w:p>
          <w:p w14:paraId="0D692524" w14:textId="2A66E1FA" w:rsidR="000271ED" w:rsidRPr="00BC7AC7" w:rsidRDefault="000271ED" w:rsidP="000271ED">
            <w:pPr>
              <w:spacing w:before="376"/>
              <w:jc w:val="center"/>
              <w:textAlignment w:val="baseline"/>
              <w:rPr>
                <w:rFonts w:ascii="Tahoma" w:eastAsia="Tahoma" w:hAnsi="Tahoma"/>
                <w:color w:val="000000"/>
                <w:spacing w:val="-4"/>
                <w:sz w:val="20"/>
              </w:rPr>
            </w:pPr>
            <w:r w:rsidRPr="00BC7AC7">
              <w:rPr>
                <w:noProof/>
              </w:rPr>
              <w:t>20,67%</w:t>
            </w:r>
          </w:p>
        </w:tc>
        <w:tc>
          <w:tcPr>
            <w:tcW w:w="1276" w:type="dxa"/>
          </w:tcPr>
          <w:p w14:paraId="15C28044" w14:textId="3AF83085" w:rsidR="000271ED" w:rsidRPr="00BC7AC7" w:rsidRDefault="000271ED" w:rsidP="000271ED">
            <w:pPr>
              <w:spacing w:before="376"/>
              <w:jc w:val="center"/>
              <w:textAlignment w:val="baseline"/>
              <w:rPr>
                <w:rFonts w:ascii="Tahoma" w:eastAsia="Tahoma" w:hAnsi="Tahoma"/>
                <w:color w:val="000000"/>
                <w:spacing w:val="-4"/>
                <w:sz w:val="20"/>
              </w:rPr>
            </w:pPr>
          </w:p>
        </w:tc>
        <w:tc>
          <w:tcPr>
            <w:tcW w:w="1559" w:type="dxa"/>
          </w:tcPr>
          <w:p w14:paraId="61BF6E4B" w14:textId="509D3B49" w:rsidR="000271ED" w:rsidRPr="00BC7AC7" w:rsidRDefault="000271ED" w:rsidP="000271ED">
            <w:pPr>
              <w:spacing w:before="376"/>
              <w:jc w:val="center"/>
              <w:textAlignment w:val="baseline"/>
              <w:rPr>
                <w:rFonts w:ascii="Tahoma" w:eastAsia="Tahoma" w:hAnsi="Tahoma"/>
                <w:color w:val="000000"/>
                <w:spacing w:val="-4"/>
                <w:sz w:val="20"/>
              </w:rPr>
            </w:pPr>
          </w:p>
        </w:tc>
      </w:tr>
      <w:tr w:rsidR="004D4DC8" w:rsidRPr="00BC7AC7" w14:paraId="77036367" w14:textId="77777777" w:rsidTr="000271ED">
        <w:trPr>
          <w:trHeight w:val="838"/>
        </w:trPr>
        <w:tc>
          <w:tcPr>
            <w:tcW w:w="2405" w:type="dxa"/>
            <w:noWrap/>
          </w:tcPr>
          <w:p w14:paraId="1509B609" w14:textId="47F7FC20" w:rsidR="004D4DC8" w:rsidRPr="00BC7AC7" w:rsidRDefault="004D4DC8" w:rsidP="004D4DC8">
            <w:pPr>
              <w:spacing w:before="376"/>
              <w:jc w:val="center"/>
              <w:textAlignment w:val="baseline"/>
              <w:rPr>
                <w:rFonts w:ascii="Tahoma" w:eastAsia="Tahoma" w:hAnsi="Tahoma"/>
                <w:color w:val="000000"/>
                <w:spacing w:val="-4"/>
                <w:sz w:val="20"/>
              </w:rPr>
            </w:pPr>
            <w:r w:rsidRPr="00BC7AC7">
              <w:rPr>
                <w:rFonts w:ascii="Tahoma" w:eastAsia="Tahoma" w:hAnsi="Tahoma"/>
                <w:color w:val="000000"/>
                <w:spacing w:val="-4"/>
                <w:sz w:val="20"/>
              </w:rPr>
              <w:t>2025</w:t>
            </w:r>
          </w:p>
        </w:tc>
        <w:tc>
          <w:tcPr>
            <w:tcW w:w="992" w:type="dxa"/>
            <w:noWrap/>
          </w:tcPr>
          <w:p w14:paraId="74D60672" w14:textId="370CFDF6" w:rsidR="004D4DC8" w:rsidRPr="00BC7AC7" w:rsidRDefault="004D4DC8" w:rsidP="004D4DC8">
            <w:pPr>
              <w:jc w:val="center"/>
              <w:rPr>
                <w:strike/>
                <w:noProof/>
              </w:rPr>
            </w:pPr>
            <w:r w:rsidRPr="00BC7AC7">
              <w:rPr>
                <w:strike/>
                <w:noProof/>
              </w:rPr>
              <w:t>163</w:t>
            </w:r>
          </w:p>
          <w:p w14:paraId="30992BF2" w14:textId="51C229D7" w:rsidR="004D4DC8" w:rsidRPr="00BC7AC7" w:rsidRDefault="004D4DC8" w:rsidP="004D4DC8">
            <w:pPr>
              <w:spacing w:before="376"/>
              <w:jc w:val="center"/>
              <w:textAlignment w:val="baseline"/>
              <w:rPr>
                <w:rFonts w:ascii="Tahoma" w:eastAsia="Tahoma" w:hAnsi="Tahoma"/>
                <w:color w:val="000000"/>
                <w:spacing w:val="-4"/>
                <w:sz w:val="20"/>
              </w:rPr>
            </w:pPr>
            <w:r w:rsidRPr="00BC7AC7">
              <w:rPr>
                <w:noProof/>
              </w:rPr>
              <w:t>165</w:t>
            </w:r>
          </w:p>
        </w:tc>
        <w:tc>
          <w:tcPr>
            <w:tcW w:w="1276" w:type="dxa"/>
            <w:noWrap/>
          </w:tcPr>
          <w:p w14:paraId="20CC02A3" w14:textId="77777777" w:rsidR="004D4DC8" w:rsidRPr="00BC7AC7" w:rsidRDefault="004D4DC8" w:rsidP="004D4DC8">
            <w:pPr>
              <w:jc w:val="center"/>
              <w:rPr>
                <w:strike/>
                <w:noProof/>
              </w:rPr>
            </w:pPr>
            <w:r w:rsidRPr="00BC7AC7">
              <w:rPr>
                <w:strike/>
                <w:noProof/>
              </w:rPr>
              <w:t>21,6%</w:t>
            </w:r>
          </w:p>
          <w:p w14:paraId="7F37B0FC" w14:textId="4D8DDF69" w:rsidR="004D4DC8" w:rsidRPr="00BC7AC7" w:rsidRDefault="004D4DC8" w:rsidP="004D4DC8">
            <w:pPr>
              <w:spacing w:before="376"/>
              <w:jc w:val="center"/>
              <w:textAlignment w:val="baseline"/>
              <w:rPr>
                <w:rFonts w:ascii="Tahoma" w:eastAsia="Tahoma" w:hAnsi="Tahoma"/>
                <w:color w:val="000000"/>
                <w:spacing w:val="-4"/>
                <w:sz w:val="20"/>
              </w:rPr>
            </w:pPr>
            <w:r w:rsidRPr="00BC7AC7">
              <w:rPr>
                <w:noProof/>
              </w:rPr>
              <w:t>20,67%</w:t>
            </w:r>
          </w:p>
        </w:tc>
        <w:tc>
          <w:tcPr>
            <w:tcW w:w="1276" w:type="dxa"/>
          </w:tcPr>
          <w:p w14:paraId="168DBE18" w14:textId="77777777" w:rsidR="004D4DC8" w:rsidRPr="00BC7AC7" w:rsidRDefault="004D4DC8" w:rsidP="004D4DC8">
            <w:pPr>
              <w:spacing w:before="376"/>
              <w:jc w:val="center"/>
              <w:textAlignment w:val="baseline"/>
              <w:rPr>
                <w:rFonts w:ascii="Tahoma" w:eastAsia="Tahoma" w:hAnsi="Tahoma"/>
                <w:color w:val="000000"/>
                <w:spacing w:val="-4"/>
                <w:sz w:val="20"/>
              </w:rPr>
            </w:pPr>
          </w:p>
        </w:tc>
        <w:tc>
          <w:tcPr>
            <w:tcW w:w="1559" w:type="dxa"/>
          </w:tcPr>
          <w:p w14:paraId="56C24CA6" w14:textId="77777777" w:rsidR="004D4DC8" w:rsidRPr="00BC7AC7" w:rsidRDefault="004D4DC8" w:rsidP="004D4DC8">
            <w:pPr>
              <w:spacing w:before="376"/>
              <w:jc w:val="center"/>
              <w:textAlignment w:val="baseline"/>
              <w:rPr>
                <w:rFonts w:ascii="Tahoma" w:eastAsia="Tahoma" w:hAnsi="Tahoma"/>
                <w:color w:val="000000"/>
                <w:spacing w:val="-4"/>
                <w:sz w:val="20"/>
              </w:rPr>
            </w:pPr>
          </w:p>
        </w:tc>
      </w:tr>
      <w:tr w:rsidR="004D4DC8" w:rsidRPr="00BC7AC7" w14:paraId="7A81C2DD" w14:textId="77777777" w:rsidTr="00792904">
        <w:trPr>
          <w:trHeight w:val="255"/>
        </w:trPr>
        <w:tc>
          <w:tcPr>
            <w:tcW w:w="2405" w:type="dxa"/>
            <w:noWrap/>
          </w:tcPr>
          <w:p w14:paraId="2FD0EB50" w14:textId="2B674127" w:rsidR="004D4DC8" w:rsidRPr="00BC7AC7" w:rsidRDefault="004D4DC8" w:rsidP="004D4DC8">
            <w:pPr>
              <w:spacing w:before="376"/>
              <w:jc w:val="center"/>
              <w:textAlignment w:val="baseline"/>
              <w:rPr>
                <w:rFonts w:ascii="Tahoma" w:eastAsia="Tahoma" w:hAnsi="Tahoma"/>
                <w:color w:val="000000"/>
                <w:spacing w:val="-4"/>
                <w:sz w:val="20"/>
              </w:rPr>
            </w:pPr>
            <w:r w:rsidRPr="00BC7AC7">
              <w:rPr>
                <w:noProof/>
              </w:rPr>
              <w:t>2026</w:t>
            </w:r>
          </w:p>
        </w:tc>
        <w:tc>
          <w:tcPr>
            <w:tcW w:w="992" w:type="dxa"/>
            <w:noWrap/>
          </w:tcPr>
          <w:p w14:paraId="7CE028A3" w14:textId="276E2AF4" w:rsidR="004D4DC8" w:rsidRPr="00BC7AC7" w:rsidRDefault="004D4DC8" w:rsidP="004D4DC8">
            <w:pPr>
              <w:spacing w:before="376"/>
              <w:textAlignment w:val="baseline"/>
              <w:rPr>
                <w:rFonts w:ascii="Tahoma" w:eastAsia="Tahoma" w:hAnsi="Tahoma"/>
                <w:color w:val="000000"/>
                <w:spacing w:val="-4"/>
                <w:sz w:val="20"/>
              </w:rPr>
            </w:pPr>
            <w:r w:rsidRPr="00BC7AC7">
              <w:rPr>
                <w:noProof/>
              </w:rPr>
              <w:t xml:space="preserve">    163</w:t>
            </w:r>
          </w:p>
        </w:tc>
        <w:tc>
          <w:tcPr>
            <w:tcW w:w="1276" w:type="dxa"/>
            <w:noWrap/>
          </w:tcPr>
          <w:p w14:paraId="3E83E77B" w14:textId="28F69FDC" w:rsidR="004D4DC8" w:rsidRPr="00BC7AC7" w:rsidRDefault="004D4DC8" w:rsidP="004D4DC8">
            <w:pPr>
              <w:spacing w:before="376"/>
              <w:textAlignment w:val="baseline"/>
              <w:rPr>
                <w:rFonts w:ascii="Tahoma" w:eastAsia="Tahoma" w:hAnsi="Tahoma"/>
                <w:color w:val="000000"/>
                <w:spacing w:val="-4"/>
                <w:sz w:val="20"/>
              </w:rPr>
            </w:pPr>
            <w:r w:rsidRPr="00BC7AC7">
              <w:rPr>
                <w:noProof/>
              </w:rPr>
              <w:t xml:space="preserve">    21,63%</w:t>
            </w:r>
          </w:p>
        </w:tc>
        <w:tc>
          <w:tcPr>
            <w:tcW w:w="1276" w:type="dxa"/>
          </w:tcPr>
          <w:p w14:paraId="655433AC" w14:textId="77777777" w:rsidR="004D4DC8" w:rsidRPr="00BC7AC7" w:rsidRDefault="004D4DC8" w:rsidP="004D4DC8">
            <w:pPr>
              <w:spacing w:before="376"/>
              <w:jc w:val="center"/>
              <w:textAlignment w:val="baseline"/>
              <w:rPr>
                <w:rFonts w:ascii="Tahoma" w:eastAsia="Tahoma" w:hAnsi="Tahoma"/>
                <w:color w:val="000000"/>
                <w:spacing w:val="-4"/>
                <w:sz w:val="20"/>
              </w:rPr>
            </w:pPr>
          </w:p>
        </w:tc>
        <w:tc>
          <w:tcPr>
            <w:tcW w:w="1559" w:type="dxa"/>
          </w:tcPr>
          <w:p w14:paraId="6A4F2D17" w14:textId="77777777" w:rsidR="004D4DC8" w:rsidRPr="00BC7AC7" w:rsidRDefault="004D4DC8" w:rsidP="004D4DC8">
            <w:pPr>
              <w:spacing w:before="376"/>
              <w:jc w:val="center"/>
              <w:textAlignment w:val="baseline"/>
              <w:rPr>
                <w:rFonts w:ascii="Tahoma" w:eastAsia="Tahoma" w:hAnsi="Tahoma"/>
                <w:color w:val="000000"/>
                <w:spacing w:val="-4"/>
                <w:sz w:val="20"/>
              </w:rPr>
            </w:pPr>
          </w:p>
        </w:tc>
      </w:tr>
    </w:tbl>
    <w:p w14:paraId="2D5E3F94" w14:textId="77777777" w:rsidR="0006677C" w:rsidRPr="00BC7AC7" w:rsidRDefault="0006677C" w:rsidP="0006677C">
      <w:pPr>
        <w:pStyle w:val="Lijstalinea"/>
        <w:spacing w:before="6" w:line="232" w:lineRule="exact"/>
        <w:textAlignment w:val="baseline"/>
        <w:rPr>
          <w:rFonts w:ascii="Tahoma" w:eastAsia="Tahoma" w:hAnsi="Tahoma"/>
          <w:color w:val="000000"/>
          <w:spacing w:val="5"/>
          <w:sz w:val="16"/>
        </w:rPr>
      </w:pPr>
    </w:p>
    <w:p w14:paraId="383F2B60" w14:textId="77777777" w:rsidR="00792904" w:rsidRPr="00BC7AC7" w:rsidRDefault="00792904" w:rsidP="0006677C">
      <w:pPr>
        <w:pStyle w:val="Lijstalinea"/>
        <w:spacing w:before="6" w:line="232" w:lineRule="exact"/>
        <w:textAlignment w:val="baseline"/>
        <w:rPr>
          <w:rFonts w:ascii="Tahoma" w:eastAsia="Tahoma" w:hAnsi="Tahoma"/>
          <w:color w:val="000000"/>
          <w:spacing w:val="5"/>
          <w:sz w:val="16"/>
        </w:rPr>
      </w:pPr>
    </w:p>
    <w:p w14:paraId="5D86D88F" w14:textId="77777777" w:rsidR="00792904" w:rsidRPr="00BC7AC7" w:rsidRDefault="00792904" w:rsidP="0006677C">
      <w:pPr>
        <w:pStyle w:val="Lijstalinea"/>
        <w:spacing w:before="6" w:line="232" w:lineRule="exact"/>
        <w:textAlignment w:val="baseline"/>
        <w:rPr>
          <w:rFonts w:ascii="Tahoma" w:eastAsia="Tahoma" w:hAnsi="Tahoma"/>
          <w:color w:val="000000"/>
          <w:spacing w:val="5"/>
          <w:sz w:val="16"/>
        </w:rPr>
      </w:pPr>
    </w:p>
    <w:p w14:paraId="13B9CFA2" w14:textId="77777777" w:rsidR="0006677C" w:rsidRPr="00BC7AC7" w:rsidRDefault="0006677C" w:rsidP="0006677C">
      <w:pPr>
        <w:spacing w:before="6" w:line="232" w:lineRule="exact"/>
        <w:ind w:left="360"/>
        <w:textAlignment w:val="baseline"/>
        <w:rPr>
          <w:rFonts w:ascii="Times New Roman" w:eastAsia="Times New Roman" w:hAnsi="Times New Roman" w:cs="Times New Roman"/>
          <w:color w:val="666666"/>
          <w:sz w:val="26"/>
          <w:szCs w:val="26"/>
          <w:lang w:eastAsia="nl-NL"/>
        </w:rPr>
      </w:pPr>
      <w:r w:rsidRPr="00BC7AC7">
        <w:rPr>
          <w:rFonts w:ascii="Times New Roman" w:eastAsia="Times New Roman" w:hAnsi="Times New Roman" w:cs="Times New Roman"/>
          <w:color w:val="666666"/>
          <w:sz w:val="26"/>
          <w:szCs w:val="26"/>
          <w:lang w:eastAsia="nl-NL"/>
        </w:rPr>
        <w:t xml:space="preserve">De genoemde besparingen zullen geheel in scope 1 plaatsvinden. In scope 2 is nagenoeg geen besparing meer mogelijk. Voor Scope 1 kan het grootste gedeelte van het voordeel behaald worden door investeringen in nieuw materieel en materiaal. </w:t>
      </w:r>
    </w:p>
    <w:p w14:paraId="6148DB9B" w14:textId="1370566C" w:rsidR="00792904" w:rsidRPr="00BC7AC7" w:rsidRDefault="0006677C" w:rsidP="00521914">
      <w:pPr>
        <w:spacing w:before="294" w:line="290" w:lineRule="exact"/>
        <w:ind w:left="360" w:right="576"/>
        <w:textAlignment w:val="baseline"/>
        <w:rPr>
          <w:rFonts w:ascii="Times New Roman" w:eastAsia="Times New Roman" w:hAnsi="Times New Roman" w:cs="Times New Roman"/>
          <w:color w:val="666666"/>
          <w:sz w:val="26"/>
          <w:szCs w:val="26"/>
          <w:lang w:eastAsia="nl-NL"/>
        </w:rPr>
      </w:pPr>
      <w:r w:rsidRPr="00BC7AC7">
        <w:rPr>
          <w:rFonts w:ascii="Times New Roman" w:eastAsia="Times New Roman" w:hAnsi="Times New Roman" w:cs="Times New Roman"/>
          <w:color w:val="666666"/>
          <w:sz w:val="26"/>
          <w:szCs w:val="26"/>
          <w:lang w:eastAsia="nl-NL"/>
        </w:rPr>
        <w:t xml:space="preserve">Voor Scope 2 kunnen we </w:t>
      </w:r>
      <w:r w:rsidR="00396550" w:rsidRPr="00BC7AC7">
        <w:rPr>
          <w:rFonts w:ascii="Times New Roman" w:eastAsia="Times New Roman" w:hAnsi="Times New Roman" w:cs="Times New Roman"/>
          <w:color w:val="666666"/>
          <w:sz w:val="26"/>
          <w:szCs w:val="26"/>
          <w:lang w:eastAsia="nl-NL"/>
        </w:rPr>
        <w:t xml:space="preserve">geen reductie meer verwachten. </w:t>
      </w:r>
      <w:r w:rsidR="00792904" w:rsidRPr="00BC7AC7">
        <w:rPr>
          <w:rFonts w:ascii="Times New Roman" w:eastAsia="Times New Roman" w:hAnsi="Times New Roman" w:cs="Times New Roman"/>
          <w:color w:val="666666"/>
          <w:sz w:val="26"/>
          <w:szCs w:val="26"/>
          <w:lang w:eastAsia="nl-NL"/>
        </w:rPr>
        <w:t>Deze is er namelijk niet meer.</w:t>
      </w:r>
    </w:p>
    <w:p w14:paraId="5A5F3C89" w14:textId="44DF9FD0" w:rsidR="0006677C" w:rsidRPr="00BC7AC7" w:rsidRDefault="00792904" w:rsidP="0006677C">
      <w:pPr>
        <w:spacing w:before="294" w:line="290" w:lineRule="exact"/>
        <w:ind w:left="360" w:right="576"/>
        <w:textAlignment w:val="baseline"/>
        <w:rPr>
          <w:rFonts w:ascii="Times New Roman" w:eastAsia="Times New Roman" w:hAnsi="Times New Roman" w:cs="Times New Roman"/>
          <w:color w:val="666666"/>
          <w:sz w:val="26"/>
          <w:szCs w:val="26"/>
          <w:lang w:eastAsia="nl-NL"/>
        </w:rPr>
      </w:pPr>
      <w:r w:rsidRPr="00BC7AC7">
        <w:rPr>
          <w:rFonts w:ascii="Times New Roman" w:eastAsia="Times New Roman" w:hAnsi="Times New Roman" w:cs="Times New Roman"/>
          <w:color w:val="666666"/>
          <w:sz w:val="26"/>
          <w:szCs w:val="26"/>
          <w:lang w:eastAsia="nl-NL"/>
        </w:rPr>
        <w:t xml:space="preserve">Voor </w:t>
      </w:r>
      <w:r w:rsidR="00423D03" w:rsidRPr="00BC7AC7">
        <w:rPr>
          <w:rFonts w:ascii="Times New Roman" w:eastAsia="Times New Roman" w:hAnsi="Times New Roman" w:cs="Times New Roman"/>
          <w:color w:val="666666"/>
          <w:sz w:val="26"/>
          <w:szCs w:val="26"/>
          <w:lang w:eastAsia="nl-NL"/>
        </w:rPr>
        <w:t xml:space="preserve">de zakelijk gedeclareerde kilometers uit Scope 3 is het </w:t>
      </w:r>
      <w:r w:rsidR="00931D9F" w:rsidRPr="00BC7AC7">
        <w:rPr>
          <w:rFonts w:ascii="Times New Roman" w:eastAsia="Times New Roman" w:hAnsi="Times New Roman" w:cs="Times New Roman"/>
          <w:color w:val="666666"/>
          <w:sz w:val="26"/>
          <w:szCs w:val="26"/>
          <w:lang w:eastAsia="nl-NL"/>
        </w:rPr>
        <w:t xml:space="preserve">heel moeilijk voor ons om hier op te sturen, omdat we dit al zo veel mogelijk beperken. </w:t>
      </w:r>
      <w:r w:rsidR="00A40716" w:rsidRPr="00BC7AC7">
        <w:rPr>
          <w:rFonts w:ascii="Times New Roman" w:eastAsia="Times New Roman" w:hAnsi="Times New Roman" w:cs="Times New Roman"/>
          <w:color w:val="666666"/>
          <w:sz w:val="26"/>
          <w:szCs w:val="26"/>
          <w:lang w:eastAsia="nl-NL"/>
        </w:rPr>
        <w:t>Mocht dit nog verder afnemen dan is het aannemelijk dat deze uitstoot naar scope 1 verhuisd doordat de betreffende werknemers</w:t>
      </w:r>
      <w:r w:rsidR="004A5C8C" w:rsidRPr="00BC7AC7">
        <w:rPr>
          <w:rFonts w:ascii="Times New Roman" w:eastAsia="Times New Roman" w:hAnsi="Times New Roman" w:cs="Times New Roman"/>
          <w:color w:val="666666"/>
          <w:sz w:val="26"/>
          <w:szCs w:val="26"/>
          <w:lang w:eastAsia="nl-NL"/>
        </w:rPr>
        <w:t xml:space="preserve"> zich verplaatsen met Van Etten-voertuigen.</w:t>
      </w:r>
    </w:p>
    <w:p w14:paraId="12A246F0" w14:textId="77777777" w:rsidR="00606B4B" w:rsidRPr="00BC7AC7" w:rsidRDefault="00606B4B" w:rsidP="00606B4B">
      <w:pPr>
        <w:spacing w:before="100" w:beforeAutospacing="1" w:after="100" w:afterAutospacing="1" w:line="240" w:lineRule="auto"/>
        <w:rPr>
          <w:rFonts w:ascii="Times New Roman" w:eastAsia="Times New Roman" w:hAnsi="Times New Roman" w:cs="Times New Roman"/>
          <w:color w:val="666666"/>
          <w:sz w:val="26"/>
          <w:szCs w:val="26"/>
          <w:lang w:eastAsia="nl-NL"/>
        </w:rPr>
      </w:pPr>
    </w:p>
    <w:p w14:paraId="2FF13A12" w14:textId="77777777" w:rsidR="00792904" w:rsidRPr="00BC7AC7" w:rsidRDefault="00792904" w:rsidP="00606B4B">
      <w:pPr>
        <w:spacing w:before="100" w:beforeAutospacing="1" w:after="100" w:afterAutospacing="1" w:line="240" w:lineRule="auto"/>
        <w:rPr>
          <w:rFonts w:ascii="Times New Roman" w:eastAsia="Times New Roman" w:hAnsi="Times New Roman" w:cs="Times New Roman"/>
          <w:color w:val="666666"/>
          <w:sz w:val="26"/>
          <w:szCs w:val="26"/>
          <w:lang w:eastAsia="nl-NL"/>
        </w:rPr>
      </w:pPr>
    </w:p>
    <w:p w14:paraId="76881FA1" w14:textId="77777777" w:rsidR="00EB063D" w:rsidRPr="00BC7AC7" w:rsidRDefault="00EB063D" w:rsidP="00EB063D">
      <w:pPr>
        <w:spacing w:after="225" w:line="576" w:lineRule="atLeast"/>
        <w:outlineLvl w:val="2"/>
        <w:rPr>
          <w:rFonts w:ascii="ubuntu-medium" w:eastAsia="Times New Roman" w:hAnsi="ubuntu-medium" w:cs="Times New Roman"/>
          <w:b/>
          <w:bCs/>
          <w:color w:val="CC0000"/>
          <w:sz w:val="36"/>
          <w:szCs w:val="36"/>
          <w:lang w:eastAsia="nl-NL"/>
        </w:rPr>
      </w:pPr>
      <w:r w:rsidRPr="00BC7AC7">
        <w:rPr>
          <w:rFonts w:ascii="ubuntu-medium" w:eastAsia="Times New Roman" w:hAnsi="ubuntu-medium" w:cs="Times New Roman"/>
          <w:b/>
          <w:bCs/>
          <w:color w:val="CC0000"/>
          <w:sz w:val="36"/>
          <w:szCs w:val="36"/>
          <w:lang w:eastAsia="nl-NL"/>
        </w:rPr>
        <w:t>Transparantie</w:t>
      </w:r>
    </w:p>
    <w:p w14:paraId="5F325767" w14:textId="19356965" w:rsidR="00EB063D" w:rsidRPr="00BC7AC7" w:rsidRDefault="00EB063D" w:rsidP="00EB063D">
      <w:pPr>
        <w:spacing w:after="100" w:afterAutospacing="1" w:line="240" w:lineRule="auto"/>
        <w:rPr>
          <w:rFonts w:ascii="Times New Roman" w:eastAsia="Times New Roman" w:hAnsi="Times New Roman" w:cs="Times New Roman"/>
          <w:color w:val="666666"/>
          <w:sz w:val="26"/>
          <w:szCs w:val="26"/>
          <w:lang w:eastAsia="nl-NL"/>
        </w:rPr>
      </w:pPr>
      <w:r w:rsidRPr="00BC7AC7">
        <w:rPr>
          <w:rFonts w:ascii="Times New Roman" w:eastAsia="Times New Roman" w:hAnsi="Times New Roman" w:cs="Times New Roman"/>
          <w:color w:val="666666"/>
          <w:sz w:val="26"/>
          <w:szCs w:val="26"/>
          <w:lang w:eastAsia="nl-NL"/>
        </w:rPr>
        <w:t>Loonbedrijf Van Etten en Grondbewerkingsbedrijf Blijdorp onderzoekt, evalueert en presenteert de gegevens openbaar via rapportage en website.</w:t>
      </w:r>
    </w:p>
    <w:p w14:paraId="3536828B" w14:textId="31190788" w:rsidR="007179EB" w:rsidRPr="00BC7AC7" w:rsidRDefault="004D4DC8" w:rsidP="00EB063D">
      <w:pPr>
        <w:spacing w:after="100" w:afterAutospacing="1" w:line="240" w:lineRule="auto"/>
        <w:rPr>
          <w:rFonts w:ascii="Times New Roman" w:eastAsia="Times New Roman" w:hAnsi="Times New Roman" w:cs="Times New Roman"/>
          <w:color w:val="666666"/>
          <w:sz w:val="26"/>
          <w:szCs w:val="26"/>
          <w:lang w:eastAsia="nl-NL"/>
        </w:rPr>
      </w:pPr>
      <w:r w:rsidRPr="00BC7AC7">
        <w:rPr>
          <w:noProof/>
          <w:lang w:eastAsia="nl-NL"/>
        </w:rPr>
        <w:drawing>
          <wp:anchor distT="0" distB="0" distL="114300" distR="114300" simplePos="0" relativeHeight="251658240" behindDoc="1" locked="0" layoutInCell="1" allowOverlap="1" wp14:anchorId="008FAA3F" wp14:editId="6B37C1EE">
            <wp:simplePos x="0" y="0"/>
            <wp:positionH relativeFrom="column">
              <wp:posOffset>-5080</wp:posOffset>
            </wp:positionH>
            <wp:positionV relativeFrom="paragraph">
              <wp:posOffset>85090</wp:posOffset>
            </wp:positionV>
            <wp:extent cx="5524500" cy="3800475"/>
            <wp:effectExtent l="0" t="0" r="0" b="9525"/>
            <wp:wrapNone/>
            <wp:docPr id="1134614048" name="Grafiek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00000000-0008-0000-0100-00003D07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3D08A993" w14:textId="49BBB88B" w:rsidR="007179EB" w:rsidRPr="00BC7AC7" w:rsidRDefault="007179EB" w:rsidP="00EB063D">
      <w:pPr>
        <w:spacing w:after="100" w:afterAutospacing="1" w:line="240" w:lineRule="auto"/>
        <w:rPr>
          <w:rFonts w:ascii="Times New Roman" w:eastAsia="Times New Roman" w:hAnsi="Times New Roman" w:cs="Times New Roman"/>
          <w:color w:val="666666"/>
          <w:sz w:val="26"/>
          <w:szCs w:val="26"/>
          <w:lang w:eastAsia="nl-NL"/>
        </w:rPr>
      </w:pPr>
    </w:p>
    <w:p w14:paraId="294FE442" w14:textId="2D4EA06D" w:rsidR="00EB063D" w:rsidRPr="00BC7AC7" w:rsidRDefault="00EB063D" w:rsidP="00EB063D">
      <w:pPr>
        <w:spacing w:after="0" w:line="240" w:lineRule="auto"/>
        <w:rPr>
          <w:rFonts w:ascii="Times New Roman" w:eastAsia="Times New Roman" w:hAnsi="Times New Roman" w:cs="Times New Roman"/>
          <w:sz w:val="24"/>
          <w:szCs w:val="24"/>
          <w:lang w:eastAsia="nl-NL"/>
        </w:rPr>
      </w:pPr>
    </w:p>
    <w:p w14:paraId="78F489A5" w14:textId="77777777" w:rsidR="000C4903" w:rsidRPr="00BC7AC7" w:rsidRDefault="000C4903" w:rsidP="00EB063D">
      <w:pPr>
        <w:spacing w:after="0" w:line="240" w:lineRule="auto"/>
        <w:rPr>
          <w:rFonts w:ascii="Times New Roman" w:eastAsia="Times New Roman" w:hAnsi="Times New Roman" w:cs="Times New Roman"/>
          <w:sz w:val="24"/>
          <w:szCs w:val="24"/>
          <w:lang w:eastAsia="nl-NL"/>
        </w:rPr>
      </w:pPr>
    </w:p>
    <w:p w14:paraId="39C107A4" w14:textId="70AC8493" w:rsidR="00014447" w:rsidRPr="00BC7AC7" w:rsidRDefault="00014447" w:rsidP="00EB063D">
      <w:pPr>
        <w:spacing w:after="0" w:line="240" w:lineRule="auto"/>
        <w:rPr>
          <w:noProof/>
          <w:lang w:eastAsia="nl-NL"/>
        </w:rPr>
      </w:pPr>
    </w:p>
    <w:p w14:paraId="2566F756" w14:textId="77777777" w:rsidR="004D4DC8" w:rsidRPr="00BC7AC7" w:rsidRDefault="004D4DC8" w:rsidP="00EB063D">
      <w:pPr>
        <w:spacing w:after="0" w:line="240" w:lineRule="auto"/>
        <w:rPr>
          <w:noProof/>
          <w:lang w:eastAsia="nl-NL"/>
        </w:rPr>
      </w:pPr>
    </w:p>
    <w:p w14:paraId="4B113600" w14:textId="77777777" w:rsidR="004D4DC8" w:rsidRPr="00BC7AC7" w:rsidRDefault="004D4DC8" w:rsidP="00EB063D">
      <w:pPr>
        <w:spacing w:after="0" w:line="240" w:lineRule="auto"/>
        <w:rPr>
          <w:noProof/>
          <w:lang w:eastAsia="nl-NL"/>
        </w:rPr>
      </w:pPr>
    </w:p>
    <w:p w14:paraId="6E51816D" w14:textId="77777777" w:rsidR="004D4DC8" w:rsidRPr="00BC7AC7" w:rsidRDefault="004D4DC8" w:rsidP="00EB063D">
      <w:pPr>
        <w:spacing w:after="0" w:line="240" w:lineRule="auto"/>
        <w:rPr>
          <w:noProof/>
          <w:lang w:eastAsia="nl-NL"/>
        </w:rPr>
      </w:pPr>
    </w:p>
    <w:p w14:paraId="47DF3439" w14:textId="77777777" w:rsidR="004D4DC8" w:rsidRPr="00BC7AC7" w:rsidRDefault="004D4DC8" w:rsidP="00EB063D">
      <w:pPr>
        <w:spacing w:after="0" w:line="240" w:lineRule="auto"/>
        <w:rPr>
          <w:noProof/>
          <w:lang w:eastAsia="nl-NL"/>
        </w:rPr>
      </w:pPr>
    </w:p>
    <w:p w14:paraId="58E351D6" w14:textId="77777777" w:rsidR="004D4DC8" w:rsidRPr="00BC7AC7" w:rsidRDefault="004D4DC8" w:rsidP="00EB063D">
      <w:pPr>
        <w:spacing w:after="0" w:line="240" w:lineRule="auto"/>
        <w:rPr>
          <w:noProof/>
          <w:lang w:eastAsia="nl-NL"/>
        </w:rPr>
      </w:pPr>
    </w:p>
    <w:p w14:paraId="23C7647F" w14:textId="77777777" w:rsidR="004D4DC8" w:rsidRPr="00BC7AC7" w:rsidRDefault="004D4DC8" w:rsidP="00EB063D">
      <w:pPr>
        <w:spacing w:after="0" w:line="240" w:lineRule="auto"/>
        <w:rPr>
          <w:noProof/>
          <w:lang w:eastAsia="nl-NL"/>
        </w:rPr>
      </w:pPr>
    </w:p>
    <w:p w14:paraId="3367293D" w14:textId="77777777" w:rsidR="004D4DC8" w:rsidRPr="00BC7AC7" w:rsidRDefault="004D4DC8" w:rsidP="00EB063D">
      <w:pPr>
        <w:spacing w:after="0" w:line="240" w:lineRule="auto"/>
        <w:rPr>
          <w:noProof/>
          <w:lang w:eastAsia="nl-NL"/>
        </w:rPr>
      </w:pPr>
    </w:p>
    <w:p w14:paraId="17A5DF7B" w14:textId="77777777" w:rsidR="004D4DC8" w:rsidRPr="00BC7AC7" w:rsidRDefault="004D4DC8" w:rsidP="00EB063D">
      <w:pPr>
        <w:spacing w:after="0" w:line="240" w:lineRule="auto"/>
        <w:rPr>
          <w:noProof/>
          <w:lang w:eastAsia="nl-NL"/>
        </w:rPr>
      </w:pPr>
    </w:p>
    <w:p w14:paraId="517B2EC0" w14:textId="77777777" w:rsidR="004D4DC8" w:rsidRPr="00BC7AC7" w:rsidRDefault="004D4DC8" w:rsidP="00EB063D">
      <w:pPr>
        <w:spacing w:after="0" w:line="240" w:lineRule="auto"/>
        <w:rPr>
          <w:noProof/>
          <w:lang w:eastAsia="nl-NL"/>
        </w:rPr>
      </w:pPr>
    </w:p>
    <w:p w14:paraId="7DBD5702" w14:textId="77777777" w:rsidR="004D4DC8" w:rsidRPr="00BC7AC7" w:rsidRDefault="004D4DC8" w:rsidP="00EB063D">
      <w:pPr>
        <w:spacing w:after="0" w:line="240" w:lineRule="auto"/>
        <w:rPr>
          <w:noProof/>
          <w:lang w:eastAsia="nl-NL"/>
        </w:rPr>
      </w:pPr>
    </w:p>
    <w:p w14:paraId="63BFF111" w14:textId="77777777" w:rsidR="004D4DC8" w:rsidRPr="00BC7AC7" w:rsidRDefault="004D4DC8" w:rsidP="00EB063D">
      <w:pPr>
        <w:spacing w:after="0" w:line="240" w:lineRule="auto"/>
        <w:rPr>
          <w:noProof/>
          <w:lang w:eastAsia="nl-NL"/>
        </w:rPr>
      </w:pPr>
    </w:p>
    <w:p w14:paraId="5590176E" w14:textId="77777777" w:rsidR="004D4DC8" w:rsidRPr="00BC7AC7" w:rsidRDefault="004D4DC8" w:rsidP="00EB063D">
      <w:pPr>
        <w:spacing w:after="0" w:line="240" w:lineRule="auto"/>
        <w:rPr>
          <w:noProof/>
          <w:lang w:eastAsia="nl-NL"/>
        </w:rPr>
      </w:pPr>
    </w:p>
    <w:p w14:paraId="13DFB347" w14:textId="77777777" w:rsidR="004D4DC8" w:rsidRPr="00BC7AC7" w:rsidRDefault="004D4DC8" w:rsidP="00EB063D">
      <w:pPr>
        <w:spacing w:after="0" w:line="240" w:lineRule="auto"/>
        <w:rPr>
          <w:noProof/>
          <w:lang w:eastAsia="nl-NL"/>
        </w:rPr>
      </w:pPr>
    </w:p>
    <w:p w14:paraId="07ED55E1" w14:textId="77777777" w:rsidR="004D4DC8" w:rsidRPr="00BC7AC7" w:rsidRDefault="004D4DC8" w:rsidP="00EB063D">
      <w:pPr>
        <w:spacing w:after="0" w:line="240" w:lineRule="auto"/>
        <w:rPr>
          <w:noProof/>
          <w:lang w:eastAsia="nl-NL"/>
        </w:rPr>
      </w:pPr>
    </w:p>
    <w:p w14:paraId="37045D39" w14:textId="77777777" w:rsidR="004D4DC8" w:rsidRPr="00BC7AC7" w:rsidRDefault="004D4DC8" w:rsidP="00EB063D">
      <w:pPr>
        <w:spacing w:after="0" w:line="240" w:lineRule="auto"/>
        <w:rPr>
          <w:noProof/>
          <w:lang w:eastAsia="nl-NL"/>
        </w:rPr>
      </w:pPr>
    </w:p>
    <w:p w14:paraId="3D792E4C" w14:textId="77777777" w:rsidR="004D4DC8" w:rsidRPr="00BC7AC7" w:rsidRDefault="004D4DC8" w:rsidP="00EB063D">
      <w:pPr>
        <w:spacing w:after="0" w:line="240" w:lineRule="auto"/>
        <w:rPr>
          <w:noProof/>
          <w:lang w:eastAsia="nl-NL"/>
        </w:rPr>
      </w:pPr>
    </w:p>
    <w:p w14:paraId="6CF1E43C" w14:textId="77777777" w:rsidR="004D4DC8" w:rsidRPr="00BC7AC7" w:rsidRDefault="004D4DC8" w:rsidP="00EB063D">
      <w:pPr>
        <w:spacing w:after="0" w:line="240" w:lineRule="auto"/>
        <w:rPr>
          <w:noProof/>
          <w:lang w:eastAsia="nl-NL"/>
        </w:rPr>
      </w:pPr>
    </w:p>
    <w:p w14:paraId="16CDCEB5" w14:textId="5151AE35" w:rsidR="004D4DC8" w:rsidRPr="00BC7AC7" w:rsidRDefault="004D4DC8" w:rsidP="00EB063D">
      <w:pPr>
        <w:spacing w:after="0" w:line="240" w:lineRule="auto"/>
        <w:rPr>
          <w:noProof/>
          <w:lang w:eastAsia="nl-NL"/>
        </w:rPr>
      </w:pPr>
      <w:r w:rsidRPr="00BC7AC7">
        <w:rPr>
          <w:noProof/>
          <w:lang w:eastAsia="nl-NL"/>
        </w:rPr>
        <w:drawing>
          <wp:inline distT="0" distB="0" distL="0" distR="0" wp14:anchorId="4594FAA6" wp14:editId="7F609282">
            <wp:extent cx="4743450" cy="3131389"/>
            <wp:effectExtent l="0" t="0" r="0" b="12065"/>
            <wp:docPr id="619787064" name="Grafiek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00000000-0008-0000-0100-00003E07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07FA16F" w14:textId="77777777" w:rsidR="004D4DC8" w:rsidRPr="00BC7AC7" w:rsidRDefault="004D4DC8" w:rsidP="00EB063D">
      <w:pPr>
        <w:spacing w:after="0" w:line="240" w:lineRule="auto"/>
        <w:rPr>
          <w:noProof/>
          <w:lang w:eastAsia="nl-NL"/>
        </w:rPr>
      </w:pPr>
    </w:p>
    <w:p w14:paraId="6FBF8C7D" w14:textId="77777777" w:rsidR="00014447" w:rsidRPr="00BC7AC7" w:rsidRDefault="00014447" w:rsidP="00EB063D">
      <w:pPr>
        <w:spacing w:after="0" w:line="240" w:lineRule="auto"/>
        <w:rPr>
          <w:rFonts w:ascii="Times New Roman" w:eastAsia="Times New Roman" w:hAnsi="Times New Roman" w:cs="Times New Roman"/>
          <w:sz w:val="24"/>
          <w:szCs w:val="24"/>
          <w:lang w:eastAsia="nl-NL"/>
        </w:rPr>
      </w:pPr>
    </w:p>
    <w:p w14:paraId="58517EB1" w14:textId="77777777" w:rsidR="00EB063D" w:rsidRPr="00BC7AC7" w:rsidRDefault="00EB063D" w:rsidP="00EB063D">
      <w:pPr>
        <w:spacing w:after="300" w:line="576" w:lineRule="atLeast"/>
        <w:outlineLvl w:val="2"/>
        <w:rPr>
          <w:rFonts w:ascii="ubuntu-medium" w:eastAsia="Times New Roman" w:hAnsi="ubuntu-medium" w:cs="Times New Roman"/>
          <w:b/>
          <w:bCs/>
          <w:color w:val="CC0000"/>
          <w:sz w:val="36"/>
          <w:szCs w:val="36"/>
          <w:lang w:eastAsia="nl-NL"/>
        </w:rPr>
      </w:pPr>
      <w:r w:rsidRPr="00BC7AC7">
        <w:rPr>
          <w:rFonts w:ascii="ubuntu-medium" w:eastAsia="Times New Roman" w:hAnsi="ubuntu-medium" w:cs="Times New Roman"/>
          <w:b/>
          <w:bCs/>
          <w:color w:val="CC0000"/>
          <w:sz w:val="36"/>
          <w:szCs w:val="36"/>
          <w:lang w:eastAsia="nl-NL"/>
        </w:rPr>
        <w:t>Initiatieven</w:t>
      </w:r>
    </w:p>
    <w:p w14:paraId="497640F7" w14:textId="7EE1B28D" w:rsidR="00EB063D" w:rsidRPr="00BC7AC7" w:rsidRDefault="00EB063D" w:rsidP="00EB063D">
      <w:pPr>
        <w:spacing w:after="100" w:afterAutospacing="1" w:line="240" w:lineRule="auto"/>
        <w:rPr>
          <w:rFonts w:ascii="Times New Roman" w:eastAsia="Times New Roman" w:hAnsi="Times New Roman" w:cs="Times New Roman"/>
          <w:strike/>
          <w:color w:val="666666"/>
          <w:sz w:val="26"/>
          <w:szCs w:val="26"/>
          <w:lang w:eastAsia="nl-NL"/>
        </w:rPr>
      </w:pPr>
      <w:r w:rsidRPr="00BC7AC7">
        <w:rPr>
          <w:rFonts w:ascii="Times New Roman" w:eastAsia="Times New Roman" w:hAnsi="Times New Roman" w:cs="Times New Roman"/>
          <w:color w:val="666666"/>
          <w:sz w:val="26"/>
          <w:szCs w:val="26"/>
          <w:lang w:eastAsia="nl-NL"/>
        </w:rPr>
        <w:t xml:space="preserve">Voor de toekomst zullen Van Etten en Blijdorp uitgebreider analyseren wat de mogelijkheden zijn om preventief en bij projecten het CO2 verbruik in beeld te brengen. Op dit moment voeren Van Etten en Blijdorp een actief beleid om de CO2 te reduceren door al het groen wat vrijkomt bij werkzaamheden, te verzamelen en aan te bieden voor compostering en recycling. Binnen Cumela zijn we actief betrokken bij diverse overlegvormen met betrekking tot het terugdringen van CO2-uitstoot. </w:t>
      </w:r>
      <w:r w:rsidRPr="00BC7AC7">
        <w:rPr>
          <w:rFonts w:ascii="Times New Roman" w:eastAsia="Times New Roman" w:hAnsi="Times New Roman" w:cs="Times New Roman"/>
          <w:strike/>
          <w:color w:val="666666"/>
          <w:sz w:val="26"/>
          <w:szCs w:val="26"/>
          <w:lang w:eastAsia="nl-NL"/>
        </w:rPr>
        <w:t>Daarnaast zijn de beide bedrijven betrokken geweest bij de oprichting een branche breed overleg-initiatief met andere bedrijven, DuurzaamCollectief (zie www.duurzaamcollectief.nl). In dit collectief zullen ‘decisionmakers’ uit de verschillende bedrijven samen met professionals op het gebied van MVO en duurzaamheid tot gezamenlijke ideeën, plannen en uitvoering van arbo, milieu, toekomst, maatschappij en betrokkenheid komen</w:t>
      </w:r>
      <w:r w:rsidR="000C4903" w:rsidRPr="00BC7AC7">
        <w:rPr>
          <w:rFonts w:ascii="Times New Roman" w:eastAsia="Times New Roman" w:hAnsi="Times New Roman" w:cs="Times New Roman"/>
          <w:strike/>
          <w:color w:val="666666"/>
          <w:sz w:val="26"/>
          <w:szCs w:val="26"/>
          <w:lang w:eastAsia="nl-NL"/>
        </w:rPr>
        <w:t>. Dit</w:t>
      </w:r>
      <w:r w:rsidRPr="00BC7AC7">
        <w:rPr>
          <w:rFonts w:ascii="Times New Roman" w:eastAsia="Times New Roman" w:hAnsi="Times New Roman" w:cs="Times New Roman"/>
          <w:strike/>
          <w:color w:val="666666"/>
          <w:sz w:val="26"/>
          <w:szCs w:val="26"/>
          <w:lang w:eastAsia="nl-NL"/>
        </w:rPr>
        <w:t xml:space="preserve"> collectief </w:t>
      </w:r>
      <w:r w:rsidR="000C4903" w:rsidRPr="00BC7AC7">
        <w:rPr>
          <w:rFonts w:ascii="Times New Roman" w:eastAsia="Times New Roman" w:hAnsi="Times New Roman" w:cs="Times New Roman"/>
          <w:strike/>
          <w:color w:val="666666"/>
          <w:sz w:val="26"/>
          <w:szCs w:val="26"/>
          <w:lang w:eastAsia="nl-NL"/>
        </w:rPr>
        <w:t xml:space="preserve">verdiept </w:t>
      </w:r>
      <w:r w:rsidRPr="00BC7AC7">
        <w:rPr>
          <w:rFonts w:ascii="Times New Roman" w:eastAsia="Times New Roman" w:hAnsi="Times New Roman" w:cs="Times New Roman"/>
          <w:strike/>
          <w:color w:val="666666"/>
          <w:sz w:val="26"/>
          <w:szCs w:val="26"/>
          <w:lang w:eastAsia="nl-NL"/>
        </w:rPr>
        <w:t>zich in het gebruik van waterstof</w:t>
      </w:r>
      <w:r w:rsidR="000C4903" w:rsidRPr="00BC7AC7">
        <w:rPr>
          <w:rFonts w:ascii="Times New Roman" w:eastAsia="Times New Roman" w:hAnsi="Times New Roman" w:cs="Times New Roman"/>
          <w:strike/>
          <w:color w:val="666666"/>
          <w:sz w:val="26"/>
          <w:szCs w:val="26"/>
          <w:lang w:eastAsia="nl-NL"/>
        </w:rPr>
        <w:t>, zonne- en windenergie</w:t>
      </w:r>
      <w:r w:rsidRPr="00BC7AC7">
        <w:rPr>
          <w:rFonts w:ascii="Times New Roman" w:eastAsia="Times New Roman" w:hAnsi="Times New Roman" w:cs="Times New Roman"/>
          <w:strike/>
          <w:color w:val="666666"/>
          <w:sz w:val="26"/>
          <w:szCs w:val="26"/>
          <w:lang w:eastAsia="nl-NL"/>
        </w:rPr>
        <w:t xml:space="preserve"> als brandstof</w:t>
      </w:r>
      <w:r w:rsidR="000C4903" w:rsidRPr="00BC7AC7">
        <w:rPr>
          <w:rFonts w:ascii="Times New Roman" w:eastAsia="Times New Roman" w:hAnsi="Times New Roman" w:cs="Times New Roman"/>
          <w:strike/>
          <w:color w:val="666666"/>
          <w:sz w:val="26"/>
          <w:szCs w:val="26"/>
          <w:lang w:eastAsia="nl-NL"/>
        </w:rPr>
        <w:t xml:space="preserve"> (op projectlocaties)</w:t>
      </w:r>
      <w:r w:rsidRPr="00BC7AC7">
        <w:rPr>
          <w:rFonts w:ascii="Times New Roman" w:eastAsia="Times New Roman" w:hAnsi="Times New Roman" w:cs="Times New Roman"/>
          <w:strike/>
          <w:color w:val="666666"/>
          <w:sz w:val="26"/>
          <w:szCs w:val="26"/>
          <w:lang w:eastAsia="nl-NL"/>
        </w:rPr>
        <w:t>.</w:t>
      </w:r>
    </w:p>
    <w:p w14:paraId="0A0EB448" w14:textId="0CC9E9A2" w:rsidR="000E1161" w:rsidRPr="00BC7AC7" w:rsidRDefault="003D68A1" w:rsidP="003D68A1">
      <w:pPr>
        <w:spacing w:after="300" w:line="576" w:lineRule="atLeast"/>
        <w:jc w:val="center"/>
        <w:outlineLvl w:val="2"/>
        <w:rPr>
          <w:rFonts w:ascii="ubuntu-medium" w:eastAsia="Times New Roman" w:hAnsi="ubuntu-medium" w:cs="Times New Roman"/>
          <w:b/>
          <w:bCs/>
          <w:color w:val="CC0000"/>
          <w:sz w:val="36"/>
          <w:szCs w:val="36"/>
          <w:lang w:eastAsia="nl-NL"/>
        </w:rPr>
      </w:pPr>
      <w:r w:rsidRPr="00BC7AC7">
        <w:rPr>
          <w:noProof/>
          <w:lang w:eastAsia="nl-NL"/>
        </w:rPr>
        <w:drawing>
          <wp:inline distT="0" distB="0" distL="0" distR="0" wp14:anchorId="39149A9C" wp14:editId="667C1355">
            <wp:extent cx="3752850" cy="2486025"/>
            <wp:effectExtent l="0" t="0" r="0" b="9525"/>
            <wp:docPr id="4" name="Grafiek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100-00003C07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8A71673" w14:textId="2F7080EC" w:rsidR="00EB063D" w:rsidRPr="00BC7AC7" w:rsidRDefault="00EB063D" w:rsidP="00EB063D">
      <w:pPr>
        <w:spacing w:after="300" w:line="576" w:lineRule="atLeast"/>
        <w:outlineLvl w:val="2"/>
        <w:rPr>
          <w:rFonts w:ascii="ubuntu-medium" w:eastAsia="Times New Roman" w:hAnsi="ubuntu-medium" w:cs="Times New Roman"/>
          <w:b/>
          <w:bCs/>
          <w:color w:val="CC0000"/>
          <w:sz w:val="36"/>
          <w:szCs w:val="36"/>
          <w:lang w:eastAsia="nl-NL"/>
        </w:rPr>
      </w:pPr>
      <w:r w:rsidRPr="00BC7AC7">
        <w:rPr>
          <w:rFonts w:ascii="ubuntu-medium" w:eastAsia="Times New Roman" w:hAnsi="ubuntu-medium" w:cs="Times New Roman"/>
          <w:b/>
          <w:bCs/>
          <w:color w:val="CC0000"/>
          <w:sz w:val="36"/>
          <w:szCs w:val="36"/>
          <w:lang w:eastAsia="nl-NL"/>
        </w:rPr>
        <w:t>Reductie</w:t>
      </w:r>
    </w:p>
    <w:p w14:paraId="1D152800" w14:textId="77777777" w:rsidR="000C4903" w:rsidRPr="00BC7AC7" w:rsidRDefault="000C4903" w:rsidP="000C4903">
      <w:pPr>
        <w:spacing w:after="0" w:line="240" w:lineRule="auto"/>
        <w:rPr>
          <w:rFonts w:ascii="Times New Roman" w:eastAsia="Times New Roman" w:hAnsi="Times New Roman" w:cs="Times New Roman"/>
          <w:color w:val="666666"/>
          <w:sz w:val="26"/>
          <w:szCs w:val="26"/>
          <w:lang w:eastAsia="nl-NL"/>
        </w:rPr>
      </w:pPr>
      <w:r w:rsidRPr="00BC7AC7">
        <w:rPr>
          <w:rFonts w:ascii="Times New Roman" w:eastAsia="Times New Roman" w:hAnsi="Times New Roman" w:cs="Times New Roman"/>
          <w:color w:val="666666"/>
          <w:sz w:val="26"/>
          <w:szCs w:val="26"/>
          <w:lang w:eastAsia="nl-NL"/>
        </w:rPr>
        <w:t xml:space="preserve">Om te weten welke energiestromen er zijn binnen Van Etten zijn, is een inventarisatie uitgevoerd tijdens een administratieve handeling en rondgang over de locaties. De gegevens worden bijgehouden en binnen de directie besproken en bekend gemaakt bij de medewerkers. De administratieve handeling wordt maandelijks bijgewerkt. </w:t>
      </w:r>
    </w:p>
    <w:p w14:paraId="4FAC42E5" w14:textId="77777777" w:rsidR="000C4903" w:rsidRPr="00BC7AC7" w:rsidRDefault="000C4903" w:rsidP="000C4903">
      <w:pPr>
        <w:spacing w:after="0" w:line="240" w:lineRule="auto"/>
        <w:rPr>
          <w:rFonts w:ascii="Arial" w:eastAsia="MS Mincho" w:hAnsi="Arial" w:cs="Arial"/>
          <w:color w:val="FF0000"/>
        </w:rPr>
      </w:pPr>
    </w:p>
    <w:p w14:paraId="1E8F1C31" w14:textId="77777777" w:rsidR="000C4903" w:rsidRPr="00BC7AC7" w:rsidRDefault="000C4903" w:rsidP="000C4903">
      <w:pPr>
        <w:spacing w:after="0" w:line="240" w:lineRule="auto"/>
        <w:rPr>
          <w:rFonts w:ascii="Arial" w:eastAsia="MS Mincho" w:hAnsi="Arial" w:cs="Arial"/>
        </w:rPr>
      </w:pPr>
    </w:p>
    <w:p w14:paraId="7712B90E" w14:textId="227D94FE" w:rsidR="000C4903" w:rsidRPr="00BC7AC7" w:rsidRDefault="000C4903" w:rsidP="004F2BF8">
      <w:pPr>
        <w:spacing w:after="0" w:line="240" w:lineRule="auto"/>
        <w:jc w:val="center"/>
        <w:rPr>
          <w:rFonts w:ascii="Arial" w:eastAsia="MS Mincho" w:hAnsi="Arial" w:cs="Arial"/>
        </w:rPr>
      </w:pPr>
    </w:p>
    <w:p w14:paraId="40C3DBDD" w14:textId="77777777" w:rsidR="004F2BF8" w:rsidRPr="00BC7AC7" w:rsidRDefault="004F2BF8" w:rsidP="004F2BF8">
      <w:pPr>
        <w:spacing w:after="0" w:line="240" w:lineRule="auto"/>
        <w:jc w:val="center"/>
        <w:rPr>
          <w:rFonts w:ascii="Arial" w:eastAsia="MS Mincho" w:hAnsi="Arial" w:cs="Arial"/>
        </w:rPr>
      </w:pPr>
    </w:p>
    <w:p w14:paraId="24523CE8" w14:textId="77777777" w:rsidR="002B7977" w:rsidRPr="00BC7AC7" w:rsidRDefault="002B7977" w:rsidP="002B7977">
      <w:pPr>
        <w:spacing w:after="0" w:line="240" w:lineRule="auto"/>
        <w:rPr>
          <w:rFonts w:ascii="Times New Roman" w:eastAsia="Times New Roman" w:hAnsi="Times New Roman" w:cs="Times New Roman"/>
          <w:color w:val="666666"/>
          <w:sz w:val="26"/>
          <w:szCs w:val="26"/>
          <w:lang w:eastAsia="nl-NL"/>
        </w:rPr>
      </w:pPr>
      <w:r w:rsidRPr="00BC7AC7">
        <w:rPr>
          <w:rFonts w:ascii="Times New Roman" w:eastAsia="Times New Roman" w:hAnsi="Times New Roman" w:cs="Times New Roman"/>
          <w:color w:val="666666"/>
          <w:sz w:val="26"/>
          <w:szCs w:val="26"/>
          <w:lang w:eastAsia="nl-NL"/>
        </w:rPr>
        <w:t>Binnen Van Etten zijn de bronnen die CO2 uitstoot hebben onder andere:</w:t>
      </w:r>
    </w:p>
    <w:p w14:paraId="01F75CA3" w14:textId="77777777" w:rsidR="002B7977" w:rsidRPr="00BC7AC7" w:rsidRDefault="002B7977" w:rsidP="002B7977">
      <w:pPr>
        <w:numPr>
          <w:ilvl w:val="0"/>
          <w:numId w:val="3"/>
        </w:numPr>
        <w:spacing w:after="0" w:line="240" w:lineRule="auto"/>
        <w:contextualSpacing/>
        <w:rPr>
          <w:rFonts w:ascii="Times New Roman" w:eastAsia="Times New Roman" w:hAnsi="Times New Roman" w:cs="Times New Roman"/>
          <w:color w:val="666666"/>
          <w:sz w:val="26"/>
          <w:szCs w:val="26"/>
          <w:lang w:eastAsia="nl-NL"/>
        </w:rPr>
      </w:pPr>
      <w:r w:rsidRPr="00BC7AC7">
        <w:rPr>
          <w:rFonts w:ascii="Times New Roman" w:eastAsia="Times New Roman" w:hAnsi="Times New Roman" w:cs="Times New Roman"/>
          <w:color w:val="666666"/>
          <w:sz w:val="26"/>
          <w:szCs w:val="26"/>
          <w:lang w:eastAsia="nl-NL"/>
        </w:rPr>
        <w:t>Brandstof verbruik van de dienstauto’s;</w:t>
      </w:r>
    </w:p>
    <w:p w14:paraId="09A99037" w14:textId="77777777" w:rsidR="002B7977" w:rsidRPr="00BC7AC7" w:rsidRDefault="002B7977" w:rsidP="002B7977">
      <w:pPr>
        <w:numPr>
          <w:ilvl w:val="1"/>
          <w:numId w:val="3"/>
        </w:numPr>
        <w:spacing w:after="0" w:line="240" w:lineRule="auto"/>
        <w:contextualSpacing/>
        <w:rPr>
          <w:rFonts w:ascii="Times New Roman" w:eastAsia="Times New Roman" w:hAnsi="Times New Roman" w:cs="Times New Roman"/>
          <w:color w:val="666666"/>
          <w:sz w:val="26"/>
          <w:szCs w:val="26"/>
          <w:lang w:eastAsia="nl-NL"/>
        </w:rPr>
      </w:pPr>
      <w:r w:rsidRPr="00BC7AC7">
        <w:rPr>
          <w:rFonts w:ascii="Times New Roman" w:eastAsia="Times New Roman" w:hAnsi="Times New Roman" w:cs="Times New Roman"/>
          <w:color w:val="666666"/>
          <w:sz w:val="26"/>
          <w:szCs w:val="26"/>
          <w:lang w:eastAsia="nl-NL"/>
        </w:rPr>
        <w:lastRenderedPageBreak/>
        <w:t>Daar waar mogelijk wordt door Van Etten al gebruik gemaakt van een zo goed mogelijke energieklasse auto’s. De verwachting is dat er geen verbetering mogelijk is in het huidige beleid. Door de cursus ‘het nieuwe rijden’ die steeds meer medewerkers gevolgd hebben, kan er nog steeds een reductie van 0,5% worden bereikt. Dit geldt voor alle bestuurders.</w:t>
      </w:r>
    </w:p>
    <w:p w14:paraId="490E4DE5" w14:textId="77777777" w:rsidR="002B7977" w:rsidRPr="00BC7AC7" w:rsidRDefault="002B7977" w:rsidP="002B7977">
      <w:pPr>
        <w:numPr>
          <w:ilvl w:val="1"/>
          <w:numId w:val="3"/>
        </w:numPr>
        <w:spacing w:after="0" w:line="240" w:lineRule="auto"/>
        <w:contextualSpacing/>
        <w:rPr>
          <w:rFonts w:ascii="Times New Roman" w:eastAsia="Times New Roman" w:hAnsi="Times New Roman" w:cs="Times New Roman"/>
          <w:color w:val="666666"/>
          <w:sz w:val="26"/>
          <w:szCs w:val="26"/>
          <w:lang w:eastAsia="nl-NL"/>
        </w:rPr>
      </w:pPr>
      <w:r w:rsidRPr="00BC7AC7">
        <w:rPr>
          <w:rFonts w:ascii="Times New Roman" w:eastAsia="Times New Roman" w:hAnsi="Times New Roman" w:cs="Times New Roman"/>
          <w:color w:val="666666"/>
          <w:sz w:val="26"/>
          <w:szCs w:val="26"/>
          <w:lang w:eastAsia="nl-NL"/>
        </w:rPr>
        <w:t>De planning voor de uit te voeren werkzaamheden houdt rekening met de te rijden afstanden om onnodige brandstofverspilling en werktijd te voorkomen. De verwachting is dat er geen verbetering mogelijk is hoewel aandacht door de hele organisatie nodig blijft om het verslappen van de aandacht voor verspilling te voorkomen.</w:t>
      </w:r>
    </w:p>
    <w:p w14:paraId="44CF38B4" w14:textId="77777777" w:rsidR="002B7977" w:rsidRPr="00BC7AC7" w:rsidRDefault="002B7977" w:rsidP="002B7977">
      <w:pPr>
        <w:numPr>
          <w:ilvl w:val="1"/>
          <w:numId w:val="3"/>
        </w:numPr>
        <w:spacing w:after="0" w:line="240" w:lineRule="auto"/>
        <w:contextualSpacing/>
        <w:rPr>
          <w:rFonts w:ascii="Times New Roman" w:eastAsia="Times New Roman" w:hAnsi="Times New Roman" w:cs="Times New Roman"/>
          <w:color w:val="666666"/>
          <w:sz w:val="26"/>
          <w:szCs w:val="26"/>
          <w:lang w:eastAsia="nl-NL"/>
        </w:rPr>
      </w:pPr>
      <w:r w:rsidRPr="00BC7AC7">
        <w:rPr>
          <w:rFonts w:ascii="Times New Roman" w:eastAsia="Times New Roman" w:hAnsi="Times New Roman" w:cs="Times New Roman"/>
          <w:color w:val="666666"/>
          <w:sz w:val="26"/>
          <w:szCs w:val="26"/>
          <w:lang w:eastAsia="nl-NL"/>
        </w:rPr>
        <w:t xml:space="preserve">Het materieel is niet verder geïnventariseerd voor wat betreft het brandstofverbruik. </w:t>
      </w:r>
      <w:r w:rsidRPr="00BC7AC7">
        <w:rPr>
          <w:rFonts w:ascii="Times New Roman" w:eastAsia="Times New Roman" w:hAnsi="Times New Roman" w:cs="Times New Roman"/>
          <w:color w:val="666666"/>
          <w:sz w:val="26"/>
          <w:szCs w:val="26"/>
          <w:lang w:eastAsia="nl-NL"/>
        </w:rPr>
        <w:br/>
        <w:t xml:space="preserve">In de komende jaren zal het verbruik per machine inzichtelijker worden gemaakt zodat er gericht per machine actie kan worden ondernomen om de uitstoot te verminderen, denk aan vervangen, maatregelen bij de bron. </w:t>
      </w:r>
    </w:p>
    <w:p w14:paraId="5CBF18DF" w14:textId="77777777" w:rsidR="002B7977" w:rsidRPr="00BC7AC7" w:rsidRDefault="002B7977" w:rsidP="002B7977">
      <w:pPr>
        <w:numPr>
          <w:ilvl w:val="1"/>
          <w:numId w:val="3"/>
        </w:numPr>
        <w:spacing w:after="0" w:line="240" w:lineRule="auto"/>
        <w:contextualSpacing/>
        <w:rPr>
          <w:rFonts w:ascii="Times New Roman" w:eastAsia="Times New Roman" w:hAnsi="Times New Roman" w:cs="Times New Roman"/>
          <w:color w:val="666666"/>
          <w:sz w:val="26"/>
          <w:szCs w:val="26"/>
          <w:lang w:eastAsia="nl-NL"/>
        </w:rPr>
      </w:pPr>
      <w:r w:rsidRPr="00BC7AC7">
        <w:rPr>
          <w:rFonts w:ascii="Times New Roman" w:eastAsia="Times New Roman" w:hAnsi="Times New Roman" w:cs="Times New Roman"/>
          <w:color w:val="666666"/>
          <w:sz w:val="26"/>
          <w:szCs w:val="26"/>
          <w:lang w:eastAsia="nl-NL"/>
        </w:rPr>
        <w:t xml:space="preserve">Er zijn diverse nieuwe investeringen gedaan waarbij sterk vervuilende middelen zijn ingeruild voor schonere exemplaren. Voor </w:t>
      </w:r>
      <w:r w:rsidR="00C2011B" w:rsidRPr="00BC7AC7">
        <w:rPr>
          <w:rFonts w:ascii="Times New Roman" w:eastAsia="Times New Roman" w:hAnsi="Times New Roman" w:cs="Times New Roman"/>
          <w:color w:val="666666"/>
          <w:sz w:val="26"/>
          <w:szCs w:val="26"/>
          <w:lang w:eastAsia="nl-NL"/>
        </w:rPr>
        <w:t>het lopende jaar</w:t>
      </w:r>
      <w:r w:rsidRPr="00BC7AC7">
        <w:rPr>
          <w:rFonts w:ascii="Times New Roman" w:eastAsia="Times New Roman" w:hAnsi="Times New Roman" w:cs="Times New Roman"/>
          <w:color w:val="666666"/>
          <w:sz w:val="26"/>
          <w:szCs w:val="26"/>
          <w:lang w:eastAsia="nl-NL"/>
        </w:rPr>
        <w:t xml:space="preserve"> staan er nog diverse ‘omruilacties’ gepland.</w:t>
      </w:r>
    </w:p>
    <w:p w14:paraId="2A2A07CB" w14:textId="77777777" w:rsidR="002B7977" w:rsidRPr="00BC7AC7" w:rsidRDefault="002B7977" w:rsidP="002B7977">
      <w:pPr>
        <w:numPr>
          <w:ilvl w:val="0"/>
          <w:numId w:val="3"/>
        </w:numPr>
        <w:spacing w:after="0" w:line="240" w:lineRule="auto"/>
        <w:contextualSpacing/>
        <w:rPr>
          <w:rFonts w:ascii="Times New Roman" w:eastAsia="Times New Roman" w:hAnsi="Times New Roman" w:cs="Times New Roman"/>
          <w:color w:val="666666"/>
          <w:sz w:val="26"/>
          <w:szCs w:val="26"/>
          <w:lang w:eastAsia="nl-NL"/>
        </w:rPr>
      </w:pPr>
      <w:r w:rsidRPr="00BC7AC7">
        <w:rPr>
          <w:rFonts w:ascii="Times New Roman" w:eastAsia="Times New Roman" w:hAnsi="Times New Roman" w:cs="Times New Roman"/>
          <w:color w:val="666666"/>
          <w:sz w:val="26"/>
          <w:szCs w:val="26"/>
          <w:lang w:eastAsia="nl-NL"/>
        </w:rPr>
        <w:t>Verbruikte elektriciteit KWh</w:t>
      </w:r>
    </w:p>
    <w:p w14:paraId="2979B5FD" w14:textId="1A3481C9" w:rsidR="002B7977" w:rsidRPr="00BC7AC7" w:rsidRDefault="00666644" w:rsidP="002B7977">
      <w:pPr>
        <w:numPr>
          <w:ilvl w:val="1"/>
          <w:numId w:val="3"/>
        </w:numPr>
        <w:spacing w:after="0" w:line="240" w:lineRule="auto"/>
        <w:contextualSpacing/>
        <w:rPr>
          <w:rFonts w:ascii="Times New Roman" w:eastAsia="Times New Roman" w:hAnsi="Times New Roman" w:cs="Times New Roman"/>
          <w:color w:val="666666"/>
          <w:sz w:val="26"/>
          <w:szCs w:val="26"/>
          <w:lang w:eastAsia="nl-NL"/>
        </w:rPr>
      </w:pPr>
      <w:r w:rsidRPr="00BC7AC7">
        <w:rPr>
          <w:rFonts w:ascii="Times New Roman" w:eastAsia="Times New Roman" w:hAnsi="Times New Roman" w:cs="Times New Roman"/>
          <w:color w:val="666666"/>
          <w:sz w:val="26"/>
          <w:szCs w:val="26"/>
          <w:lang w:eastAsia="nl-NL"/>
        </w:rPr>
        <w:t>Op Kantoor gaat de verlichting automatisch uit met bewegingssensoren.</w:t>
      </w:r>
      <w:r w:rsidR="002B7977" w:rsidRPr="00BC7AC7">
        <w:rPr>
          <w:rFonts w:ascii="Times New Roman" w:eastAsia="Times New Roman" w:hAnsi="Times New Roman" w:cs="Times New Roman"/>
          <w:color w:val="666666"/>
          <w:sz w:val="26"/>
          <w:szCs w:val="26"/>
          <w:lang w:eastAsia="nl-NL"/>
        </w:rPr>
        <w:t xml:space="preserve"> </w:t>
      </w:r>
    </w:p>
    <w:p w14:paraId="7A7D0319" w14:textId="5F5E8C1C" w:rsidR="000E1161" w:rsidRPr="00BC7AC7" w:rsidRDefault="000E1161" w:rsidP="002B7977">
      <w:pPr>
        <w:numPr>
          <w:ilvl w:val="1"/>
          <w:numId w:val="3"/>
        </w:numPr>
        <w:spacing w:after="0" w:line="240" w:lineRule="auto"/>
        <w:contextualSpacing/>
        <w:rPr>
          <w:rFonts w:ascii="Times New Roman" w:eastAsia="Times New Roman" w:hAnsi="Times New Roman" w:cs="Times New Roman"/>
          <w:color w:val="666666"/>
          <w:sz w:val="26"/>
          <w:szCs w:val="26"/>
          <w:lang w:eastAsia="nl-NL"/>
        </w:rPr>
      </w:pPr>
      <w:r w:rsidRPr="00BC7AC7">
        <w:rPr>
          <w:rFonts w:ascii="Times New Roman" w:eastAsia="Times New Roman" w:hAnsi="Times New Roman" w:cs="Times New Roman"/>
          <w:color w:val="666666"/>
          <w:sz w:val="26"/>
          <w:szCs w:val="26"/>
          <w:lang w:eastAsia="nl-NL"/>
        </w:rPr>
        <w:t>Plaatsen LED-verlichting</w:t>
      </w:r>
      <w:r w:rsidR="00C51EF2" w:rsidRPr="00BC7AC7">
        <w:rPr>
          <w:rFonts w:ascii="Times New Roman" w:eastAsia="Times New Roman" w:hAnsi="Times New Roman" w:cs="Times New Roman"/>
          <w:color w:val="666666"/>
          <w:sz w:val="26"/>
          <w:szCs w:val="26"/>
          <w:lang w:eastAsia="nl-NL"/>
        </w:rPr>
        <w:t xml:space="preserve"> in de hallen en op het buitenterrein is in 2023 voltooid.</w:t>
      </w:r>
    </w:p>
    <w:p w14:paraId="4FEB63C0" w14:textId="2E45C64D" w:rsidR="000E1161" w:rsidRPr="00BC7AC7" w:rsidRDefault="004C5FBA" w:rsidP="002B7977">
      <w:pPr>
        <w:numPr>
          <w:ilvl w:val="1"/>
          <w:numId w:val="3"/>
        </w:numPr>
        <w:spacing w:after="0" w:line="240" w:lineRule="auto"/>
        <w:contextualSpacing/>
        <w:rPr>
          <w:rFonts w:ascii="Times New Roman" w:eastAsia="Times New Roman" w:hAnsi="Times New Roman" w:cs="Times New Roman"/>
          <w:color w:val="666666"/>
          <w:sz w:val="26"/>
          <w:szCs w:val="26"/>
          <w:lang w:eastAsia="nl-NL"/>
        </w:rPr>
      </w:pPr>
      <w:r w:rsidRPr="00BC7AC7">
        <w:rPr>
          <w:rFonts w:ascii="Times New Roman" w:eastAsia="Times New Roman" w:hAnsi="Times New Roman" w:cs="Times New Roman"/>
          <w:color w:val="666666"/>
          <w:sz w:val="26"/>
          <w:szCs w:val="26"/>
          <w:lang w:eastAsia="nl-NL"/>
        </w:rPr>
        <w:t>Door middel van zonnepanelen zelf elektriciteit opwekken</w:t>
      </w:r>
    </w:p>
    <w:p w14:paraId="3D476A13" w14:textId="77777777" w:rsidR="002B7977" w:rsidRPr="00BC7AC7" w:rsidRDefault="002B7977" w:rsidP="002B7977">
      <w:pPr>
        <w:numPr>
          <w:ilvl w:val="0"/>
          <w:numId w:val="3"/>
        </w:numPr>
        <w:spacing w:after="0" w:line="240" w:lineRule="auto"/>
        <w:contextualSpacing/>
        <w:rPr>
          <w:rFonts w:ascii="Times New Roman" w:eastAsia="Times New Roman" w:hAnsi="Times New Roman" w:cs="Times New Roman"/>
          <w:color w:val="666666"/>
          <w:sz w:val="26"/>
          <w:szCs w:val="26"/>
          <w:lang w:eastAsia="nl-NL"/>
        </w:rPr>
      </w:pPr>
      <w:r w:rsidRPr="00BC7AC7">
        <w:rPr>
          <w:rFonts w:ascii="Times New Roman" w:eastAsia="Times New Roman" w:hAnsi="Times New Roman" w:cs="Times New Roman"/>
          <w:color w:val="666666"/>
          <w:sz w:val="26"/>
          <w:szCs w:val="26"/>
          <w:lang w:eastAsia="nl-NL"/>
        </w:rPr>
        <w:t xml:space="preserve">Verbruikt gas m3 </w:t>
      </w:r>
    </w:p>
    <w:p w14:paraId="77BD3975" w14:textId="77777777" w:rsidR="002B7977" w:rsidRPr="00BC7AC7" w:rsidRDefault="002B7977" w:rsidP="002B7977">
      <w:pPr>
        <w:numPr>
          <w:ilvl w:val="1"/>
          <w:numId w:val="3"/>
        </w:numPr>
        <w:spacing w:after="0" w:line="240" w:lineRule="auto"/>
        <w:contextualSpacing/>
        <w:rPr>
          <w:rFonts w:ascii="Times New Roman" w:eastAsia="Times New Roman" w:hAnsi="Times New Roman" w:cs="Times New Roman"/>
          <w:color w:val="666666"/>
          <w:sz w:val="26"/>
          <w:szCs w:val="26"/>
          <w:lang w:eastAsia="nl-NL"/>
        </w:rPr>
      </w:pPr>
      <w:r w:rsidRPr="00BC7AC7">
        <w:rPr>
          <w:rFonts w:ascii="Times New Roman" w:eastAsia="Times New Roman" w:hAnsi="Times New Roman" w:cs="Times New Roman"/>
          <w:color w:val="666666"/>
          <w:sz w:val="26"/>
          <w:szCs w:val="26"/>
          <w:lang w:eastAsia="nl-NL"/>
        </w:rPr>
        <w:t>Registratie vind plaats.</w:t>
      </w:r>
    </w:p>
    <w:p w14:paraId="3152468D" w14:textId="77777777" w:rsidR="002B7977" w:rsidRPr="00BC7AC7" w:rsidRDefault="002B7977" w:rsidP="002B7977">
      <w:pPr>
        <w:spacing w:after="0" w:line="240" w:lineRule="auto"/>
        <w:rPr>
          <w:rFonts w:ascii="Times New Roman" w:eastAsia="Times New Roman" w:hAnsi="Times New Roman" w:cs="Times New Roman"/>
          <w:color w:val="666666"/>
          <w:sz w:val="26"/>
          <w:szCs w:val="26"/>
          <w:lang w:eastAsia="nl-NL"/>
        </w:rPr>
      </w:pPr>
    </w:p>
    <w:p w14:paraId="3C694B3E" w14:textId="77777777" w:rsidR="002B7977" w:rsidRPr="00BC7AC7" w:rsidRDefault="002B7977" w:rsidP="002B7977">
      <w:pPr>
        <w:spacing w:after="0" w:line="240" w:lineRule="auto"/>
        <w:rPr>
          <w:rFonts w:ascii="Times New Roman" w:eastAsia="Times New Roman" w:hAnsi="Times New Roman" w:cs="Times New Roman"/>
          <w:color w:val="666666"/>
          <w:sz w:val="26"/>
          <w:szCs w:val="26"/>
          <w:lang w:eastAsia="nl-NL"/>
        </w:rPr>
      </w:pPr>
    </w:p>
    <w:p w14:paraId="7E336374" w14:textId="6B14AE9C" w:rsidR="00F77A74" w:rsidRPr="00BC7AC7" w:rsidRDefault="00F77A74" w:rsidP="00F77A74">
      <w:pPr>
        <w:shd w:val="clear" w:color="auto" w:fill="FFFFFF"/>
        <w:spacing w:after="300" w:line="576" w:lineRule="atLeast"/>
        <w:outlineLvl w:val="2"/>
        <w:rPr>
          <w:rFonts w:ascii="ubuntu-medium" w:eastAsia="Times New Roman" w:hAnsi="ubuntu-medium" w:cs="Times New Roman"/>
          <w:b/>
          <w:bCs/>
          <w:color w:val="CC0000"/>
          <w:sz w:val="36"/>
          <w:szCs w:val="36"/>
          <w:lang w:eastAsia="nl-NL"/>
        </w:rPr>
      </w:pPr>
      <w:r w:rsidRPr="00BC7AC7">
        <w:rPr>
          <w:rFonts w:ascii="ubuntu-medium" w:eastAsia="Times New Roman" w:hAnsi="ubuntu-medium" w:cs="Times New Roman"/>
          <w:b/>
          <w:bCs/>
          <w:color w:val="CC0000"/>
          <w:sz w:val="36"/>
          <w:szCs w:val="36"/>
          <w:lang w:eastAsia="nl-NL"/>
        </w:rPr>
        <w:t xml:space="preserve">Stand van zaken </w:t>
      </w:r>
      <w:r w:rsidR="004F2BF8" w:rsidRPr="00BC7AC7">
        <w:rPr>
          <w:rFonts w:ascii="ubuntu-medium" w:eastAsia="Times New Roman" w:hAnsi="ubuntu-medium" w:cs="Times New Roman"/>
          <w:b/>
          <w:bCs/>
          <w:color w:val="CC0000"/>
          <w:sz w:val="36"/>
          <w:szCs w:val="36"/>
          <w:lang w:eastAsia="nl-NL"/>
        </w:rPr>
        <w:t>begin 202</w:t>
      </w:r>
      <w:r w:rsidR="00D17347" w:rsidRPr="00BC7AC7">
        <w:rPr>
          <w:rFonts w:ascii="ubuntu-medium" w:eastAsia="Times New Roman" w:hAnsi="ubuntu-medium" w:cs="Times New Roman"/>
          <w:b/>
          <w:bCs/>
          <w:color w:val="CC0000"/>
          <w:sz w:val="36"/>
          <w:szCs w:val="36"/>
          <w:lang w:eastAsia="nl-NL"/>
        </w:rPr>
        <w:t>4</w:t>
      </w:r>
    </w:p>
    <w:p w14:paraId="147B45DD" w14:textId="77777777" w:rsidR="00F77A74" w:rsidRPr="00BC7AC7" w:rsidRDefault="00F77A74" w:rsidP="00F77A74">
      <w:pPr>
        <w:shd w:val="clear" w:color="auto" w:fill="FFFFFF"/>
        <w:spacing w:after="100" w:afterAutospacing="1" w:line="240" w:lineRule="auto"/>
        <w:rPr>
          <w:rFonts w:ascii="ubuntu-regular" w:eastAsia="Times New Roman" w:hAnsi="ubuntu-regular" w:cs="Times New Roman"/>
          <w:color w:val="666666"/>
          <w:sz w:val="26"/>
          <w:szCs w:val="26"/>
          <w:lang w:eastAsia="nl-NL"/>
        </w:rPr>
      </w:pPr>
      <w:r w:rsidRPr="00BC7AC7">
        <w:rPr>
          <w:rFonts w:ascii="ubuntu-regular" w:eastAsia="Times New Roman" w:hAnsi="ubuntu-regular" w:cs="Times New Roman"/>
          <w:color w:val="666666"/>
          <w:sz w:val="26"/>
          <w:szCs w:val="26"/>
          <w:lang w:eastAsia="nl-NL"/>
        </w:rPr>
        <w:t xml:space="preserve">Ons energiebeleid blijft onveranderd gericht op het voorkomen van onnodig verbruik van energie. Dit geven wij met name vorm door een zorgvuldige planning van personeel, materieel en materiaal. Bovendien zetten wij moderne middelen in om het energieverbruik te minimaliseren. </w:t>
      </w:r>
    </w:p>
    <w:p w14:paraId="5833F857" w14:textId="645B02EF" w:rsidR="00F77A74" w:rsidRPr="00BC7AC7" w:rsidRDefault="00F77A74" w:rsidP="00F77A74">
      <w:pPr>
        <w:shd w:val="clear" w:color="auto" w:fill="FFFFFF"/>
        <w:spacing w:after="100" w:afterAutospacing="1" w:line="240" w:lineRule="auto"/>
        <w:rPr>
          <w:rFonts w:ascii="ubuntu-regular" w:eastAsia="Times New Roman" w:hAnsi="ubuntu-regular" w:cs="Times New Roman"/>
          <w:color w:val="666666"/>
          <w:sz w:val="26"/>
          <w:szCs w:val="26"/>
          <w:lang w:eastAsia="nl-NL"/>
        </w:rPr>
      </w:pPr>
      <w:r w:rsidRPr="00BC7AC7">
        <w:rPr>
          <w:rFonts w:ascii="ubuntu-regular" w:eastAsia="Times New Roman" w:hAnsi="ubuntu-regular" w:cs="Times New Roman"/>
          <w:color w:val="666666"/>
          <w:sz w:val="26"/>
          <w:szCs w:val="26"/>
          <w:lang w:eastAsia="nl-NL"/>
        </w:rPr>
        <w:t xml:space="preserve">Onze reductiedoelstelling voor dit jaar </w:t>
      </w:r>
      <w:r w:rsidR="00A82EAA" w:rsidRPr="00BC7AC7">
        <w:rPr>
          <w:rFonts w:ascii="ubuntu-regular" w:eastAsia="Times New Roman" w:hAnsi="ubuntu-regular" w:cs="Times New Roman"/>
          <w:color w:val="666666"/>
          <w:sz w:val="26"/>
          <w:szCs w:val="26"/>
          <w:lang w:eastAsia="nl-NL"/>
        </w:rPr>
        <w:t>is</w:t>
      </w:r>
      <w:r w:rsidRPr="00BC7AC7">
        <w:rPr>
          <w:rFonts w:ascii="ubuntu-regular" w:eastAsia="Times New Roman" w:hAnsi="ubuntu-regular" w:cs="Times New Roman"/>
          <w:color w:val="666666"/>
          <w:sz w:val="26"/>
          <w:szCs w:val="26"/>
          <w:lang w:eastAsia="nl-NL"/>
        </w:rPr>
        <w:t xml:space="preserve"> </w:t>
      </w:r>
      <w:r w:rsidR="00A82EAA" w:rsidRPr="00BC7AC7">
        <w:rPr>
          <w:rFonts w:ascii="ubuntu-regular" w:eastAsia="Times New Roman" w:hAnsi="ubuntu-regular" w:cs="Times New Roman"/>
          <w:color w:val="666666"/>
          <w:sz w:val="26"/>
          <w:szCs w:val="26"/>
          <w:lang w:eastAsia="nl-NL"/>
        </w:rPr>
        <w:t xml:space="preserve">om </w:t>
      </w:r>
      <w:r w:rsidR="00D17347" w:rsidRPr="00BC7AC7">
        <w:rPr>
          <w:rFonts w:ascii="ubuntu-regular" w:eastAsia="Times New Roman" w:hAnsi="ubuntu-regular" w:cs="Times New Roman"/>
          <w:color w:val="666666"/>
          <w:sz w:val="26"/>
          <w:szCs w:val="26"/>
          <w:lang w:eastAsia="nl-NL"/>
        </w:rPr>
        <w:t>nog slechts 165</w:t>
      </w:r>
      <w:r w:rsidRPr="00BC7AC7">
        <w:rPr>
          <w:rFonts w:ascii="ubuntu-regular" w:eastAsia="Times New Roman" w:hAnsi="ubuntu-regular" w:cs="Times New Roman"/>
          <w:color w:val="666666"/>
          <w:sz w:val="26"/>
          <w:szCs w:val="26"/>
          <w:lang w:eastAsia="nl-NL"/>
        </w:rPr>
        <w:t xml:space="preserve"> gram CO</w:t>
      </w:r>
      <w:r w:rsidRPr="00BC7AC7">
        <w:rPr>
          <w:rFonts w:ascii="ubuntu-regular" w:eastAsia="Times New Roman" w:hAnsi="ubuntu-regular" w:cs="Times New Roman"/>
          <w:color w:val="666666"/>
          <w:sz w:val="26"/>
          <w:szCs w:val="26"/>
          <w:vertAlign w:val="subscript"/>
          <w:lang w:eastAsia="nl-NL"/>
        </w:rPr>
        <w:t>2</w:t>
      </w:r>
      <w:r w:rsidRPr="00BC7AC7">
        <w:rPr>
          <w:rFonts w:ascii="ubuntu-regular" w:eastAsia="Times New Roman" w:hAnsi="ubuntu-regular" w:cs="Times New Roman"/>
          <w:color w:val="666666"/>
          <w:sz w:val="26"/>
          <w:szCs w:val="26"/>
          <w:lang w:eastAsia="nl-NL"/>
        </w:rPr>
        <w:t xml:space="preserve"> per €1000,- omzet te hebben. </w:t>
      </w:r>
      <w:r w:rsidR="00762B98" w:rsidRPr="00BC7AC7">
        <w:rPr>
          <w:rFonts w:ascii="ubuntu-regular" w:eastAsia="Times New Roman" w:hAnsi="ubuntu-regular" w:cs="Times New Roman"/>
          <w:color w:val="666666"/>
          <w:sz w:val="26"/>
          <w:szCs w:val="26"/>
          <w:lang w:eastAsia="nl-NL"/>
        </w:rPr>
        <w:t>Dit is al eerder vast</w:t>
      </w:r>
      <w:r w:rsidR="00D17347" w:rsidRPr="00BC7AC7">
        <w:rPr>
          <w:rFonts w:ascii="ubuntu-regular" w:eastAsia="Times New Roman" w:hAnsi="ubuntu-regular" w:cs="Times New Roman"/>
          <w:color w:val="666666"/>
          <w:sz w:val="26"/>
          <w:szCs w:val="26"/>
          <w:lang w:eastAsia="nl-NL"/>
        </w:rPr>
        <w:t xml:space="preserve">gesteld en omdat we in 2023 een forse besparing hebben kunnen bewerkstelligen, verwachten we dit wel te gaan halen. </w:t>
      </w:r>
      <w:r w:rsidR="00B008E8" w:rsidRPr="00BC7AC7">
        <w:rPr>
          <w:rFonts w:ascii="ubuntu-regular" w:eastAsia="Times New Roman" w:hAnsi="ubuntu-regular" w:cs="Times New Roman"/>
          <w:color w:val="666666"/>
          <w:sz w:val="26"/>
          <w:szCs w:val="26"/>
          <w:lang w:eastAsia="nl-NL"/>
        </w:rPr>
        <w:t>.</w:t>
      </w:r>
    </w:p>
    <w:p w14:paraId="5CCAFF44" w14:textId="5842362D" w:rsidR="00F77A74" w:rsidRPr="00BC7AC7" w:rsidRDefault="00F77A74" w:rsidP="00F77A74">
      <w:pPr>
        <w:shd w:val="clear" w:color="auto" w:fill="FFFFFF"/>
        <w:spacing w:after="100" w:afterAutospacing="1" w:line="240" w:lineRule="auto"/>
        <w:rPr>
          <w:rFonts w:ascii="ubuntu-regular" w:eastAsia="Times New Roman" w:hAnsi="ubuntu-regular" w:cs="Times New Roman"/>
          <w:color w:val="666666"/>
          <w:sz w:val="26"/>
          <w:szCs w:val="26"/>
          <w:lang w:eastAsia="nl-NL"/>
        </w:rPr>
      </w:pPr>
      <w:r w:rsidRPr="00BC7AC7">
        <w:rPr>
          <w:rFonts w:ascii="ubuntu-regular" w:eastAsia="Times New Roman" w:hAnsi="ubuntu-regular" w:cs="Times New Roman"/>
          <w:color w:val="666666"/>
          <w:sz w:val="26"/>
          <w:szCs w:val="26"/>
          <w:lang w:eastAsia="nl-NL"/>
        </w:rPr>
        <w:t xml:space="preserve">Ten aanzien van de maatregelen en doelstellingen zoals we die in onze </w:t>
      </w:r>
      <w:r w:rsidR="004F2BF8" w:rsidRPr="00BC7AC7">
        <w:rPr>
          <w:rFonts w:ascii="ubuntu-regular" w:eastAsia="Times New Roman" w:hAnsi="ubuntu-regular" w:cs="Times New Roman"/>
          <w:color w:val="666666"/>
          <w:sz w:val="26"/>
          <w:szCs w:val="26"/>
          <w:lang w:eastAsia="nl-NL"/>
        </w:rPr>
        <w:t xml:space="preserve">voorgaande </w:t>
      </w:r>
      <w:r w:rsidRPr="00BC7AC7">
        <w:rPr>
          <w:rFonts w:ascii="ubuntu-regular" w:eastAsia="Times New Roman" w:hAnsi="ubuntu-regular" w:cs="Times New Roman"/>
          <w:color w:val="666666"/>
          <w:sz w:val="26"/>
          <w:szCs w:val="26"/>
          <w:lang w:eastAsia="nl-NL"/>
        </w:rPr>
        <w:t>rapportage hebben aangekondigd kunnen we tevens vermelden dat we in de lijn van de verwachtingen presteren.</w:t>
      </w:r>
    </w:p>
    <w:p w14:paraId="72AFAF7D" w14:textId="06B02F47" w:rsidR="00F77A74" w:rsidRPr="00BC7AC7" w:rsidRDefault="00F77A74" w:rsidP="00F77A74">
      <w:pPr>
        <w:shd w:val="clear" w:color="auto" w:fill="FFFFFF"/>
        <w:spacing w:after="100" w:afterAutospacing="1" w:line="240" w:lineRule="auto"/>
        <w:rPr>
          <w:rFonts w:ascii="ubuntu-regular" w:eastAsia="Times New Roman" w:hAnsi="ubuntu-regular" w:cs="Times New Roman"/>
          <w:color w:val="666666"/>
          <w:sz w:val="26"/>
          <w:szCs w:val="26"/>
          <w:lang w:eastAsia="nl-NL"/>
        </w:rPr>
      </w:pPr>
      <w:r w:rsidRPr="00BC7AC7">
        <w:rPr>
          <w:rFonts w:ascii="ubuntu-regular" w:eastAsia="Times New Roman" w:hAnsi="ubuntu-regular" w:cs="Times New Roman"/>
          <w:color w:val="666666"/>
          <w:sz w:val="26"/>
          <w:szCs w:val="26"/>
          <w:lang w:eastAsia="nl-NL"/>
        </w:rPr>
        <w:t>De geplande acties voor 202</w:t>
      </w:r>
      <w:r w:rsidR="00D17347" w:rsidRPr="00BC7AC7">
        <w:rPr>
          <w:rFonts w:ascii="ubuntu-regular" w:eastAsia="Times New Roman" w:hAnsi="ubuntu-regular" w:cs="Times New Roman"/>
          <w:color w:val="666666"/>
          <w:sz w:val="26"/>
          <w:szCs w:val="26"/>
          <w:lang w:eastAsia="nl-NL"/>
        </w:rPr>
        <w:t xml:space="preserve">4 </w:t>
      </w:r>
      <w:r w:rsidR="003D68A1" w:rsidRPr="00BC7AC7">
        <w:rPr>
          <w:rFonts w:ascii="ubuntu-regular" w:eastAsia="Times New Roman" w:hAnsi="ubuntu-regular" w:cs="Times New Roman"/>
          <w:color w:val="666666"/>
          <w:sz w:val="26"/>
          <w:szCs w:val="26"/>
          <w:lang w:eastAsia="nl-NL"/>
        </w:rPr>
        <w:t>en 202</w:t>
      </w:r>
      <w:r w:rsidR="00D17347" w:rsidRPr="00BC7AC7">
        <w:rPr>
          <w:rFonts w:ascii="ubuntu-regular" w:eastAsia="Times New Roman" w:hAnsi="ubuntu-regular" w:cs="Times New Roman"/>
          <w:color w:val="666666"/>
          <w:sz w:val="26"/>
          <w:szCs w:val="26"/>
          <w:lang w:eastAsia="nl-NL"/>
        </w:rPr>
        <w:t>5</w:t>
      </w:r>
      <w:r w:rsidRPr="00BC7AC7">
        <w:rPr>
          <w:rFonts w:ascii="ubuntu-regular" w:eastAsia="Times New Roman" w:hAnsi="ubuntu-regular" w:cs="Times New Roman"/>
          <w:color w:val="666666"/>
          <w:sz w:val="26"/>
          <w:szCs w:val="26"/>
          <w:lang w:eastAsia="nl-NL"/>
        </w:rPr>
        <w:t>:</w:t>
      </w:r>
    </w:p>
    <w:p w14:paraId="79BF2F2A" w14:textId="77777777" w:rsidR="00F77A74" w:rsidRPr="00BC7AC7" w:rsidRDefault="00F77A74" w:rsidP="00F77A74">
      <w:pPr>
        <w:pStyle w:val="Lijstalinea"/>
        <w:numPr>
          <w:ilvl w:val="0"/>
          <w:numId w:val="5"/>
        </w:numPr>
        <w:shd w:val="clear" w:color="auto" w:fill="FFFFFF"/>
        <w:spacing w:after="100" w:afterAutospacing="1" w:line="240" w:lineRule="auto"/>
        <w:rPr>
          <w:rFonts w:ascii="ubuntu-regular" w:eastAsia="Times New Roman" w:hAnsi="ubuntu-regular" w:cs="Times New Roman"/>
          <w:color w:val="666666"/>
          <w:sz w:val="26"/>
          <w:szCs w:val="26"/>
          <w:lang w:eastAsia="nl-NL"/>
        </w:rPr>
      </w:pPr>
      <w:r w:rsidRPr="00BC7AC7">
        <w:rPr>
          <w:rFonts w:ascii="ubuntu-regular" w:eastAsia="Times New Roman" w:hAnsi="ubuntu-regular" w:cs="Times New Roman"/>
          <w:color w:val="666666"/>
          <w:sz w:val="26"/>
          <w:szCs w:val="26"/>
          <w:lang w:eastAsia="nl-NL"/>
        </w:rPr>
        <w:lastRenderedPageBreak/>
        <w:t>Aandacht voor bandenspanning, geschatte besparing zal circa 0,25% ten opzichte van het vorige jaar zijn</w:t>
      </w:r>
    </w:p>
    <w:p w14:paraId="1BC9C9ED" w14:textId="77777777" w:rsidR="00F77A74" w:rsidRPr="00BC7AC7" w:rsidRDefault="00F77A74" w:rsidP="00F77A74">
      <w:pPr>
        <w:pStyle w:val="Lijstalinea"/>
        <w:numPr>
          <w:ilvl w:val="0"/>
          <w:numId w:val="5"/>
        </w:numPr>
        <w:shd w:val="clear" w:color="auto" w:fill="FFFFFF"/>
        <w:spacing w:after="100" w:afterAutospacing="1" w:line="240" w:lineRule="auto"/>
        <w:rPr>
          <w:rFonts w:ascii="ubuntu-regular" w:eastAsia="Times New Roman" w:hAnsi="ubuntu-regular" w:cs="Times New Roman"/>
          <w:color w:val="666666"/>
          <w:sz w:val="26"/>
          <w:szCs w:val="26"/>
          <w:lang w:eastAsia="nl-NL"/>
        </w:rPr>
      </w:pPr>
      <w:r w:rsidRPr="00BC7AC7">
        <w:rPr>
          <w:rFonts w:ascii="ubuntu-regular" w:eastAsia="Times New Roman" w:hAnsi="ubuntu-regular" w:cs="Times New Roman"/>
          <w:color w:val="666666"/>
          <w:sz w:val="26"/>
          <w:szCs w:val="26"/>
          <w:lang w:eastAsia="nl-NL"/>
        </w:rPr>
        <w:t>Investeren in schonere motoren, besparing is niet in te schatten, is namelijk afhankelijk van welk middel vervangen wordt.</w:t>
      </w:r>
    </w:p>
    <w:p w14:paraId="65DB429D" w14:textId="0B3C6923" w:rsidR="00F77A74" w:rsidRPr="00BC7AC7" w:rsidRDefault="00F77A74" w:rsidP="00F77A74">
      <w:pPr>
        <w:pStyle w:val="Lijstalinea"/>
        <w:numPr>
          <w:ilvl w:val="0"/>
          <w:numId w:val="5"/>
        </w:numPr>
        <w:shd w:val="clear" w:color="auto" w:fill="FFFFFF"/>
        <w:spacing w:after="100" w:afterAutospacing="1" w:line="240" w:lineRule="auto"/>
        <w:rPr>
          <w:rFonts w:ascii="ubuntu-regular" w:eastAsia="Times New Roman" w:hAnsi="ubuntu-regular" w:cs="Times New Roman"/>
          <w:color w:val="666666"/>
          <w:sz w:val="26"/>
          <w:szCs w:val="26"/>
          <w:lang w:eastAsia="nl-NL"/>
        </w:rPr>
      </w:pPr>
      <w:r w:rsidRPr="00BC7AC7">
        <w:rPr>
          <w:rFonts w:ascii="ubuntu-regular" w:eastAsia="Times New Roman" w:hAnsi="ubuntu-regular" w:cs="Times New Roman"/>
          <w:color w:val="666666"/>
          <w:sz w:val="26"/>
          <w:szCs w:val="26"/>
          <w:lang w:eastAsia="nl-NL"/>
        </w:rPr>
        <w:t xml:space="preserve">Inzicht in uitstoot per middel (en per project) vergroten, door middel </w:t>
      </w:r>
      <w:r w:rsidR="00D17347" w:rsidRPr="00BC7AC7">
        <w:rPr>
          <w:rFonts w:ascii="ubuntu-regular" w:eastAsia="Times New Roman" w:hAnsi="ubuntu-regular" w:cs="Times New Roman"/>
          <w:color w:val="666666"/>
          <w:sz w:val="26"/>
          <w:szCs w:val="26"/>
          <w:lang w:eastAsia="nl-NL"/>
        </w:rPr>
        <w:t xml:space="preserve">van Fleets online. We willen zorgen dat het in 2024 goed gaat werken, zodat we vanaf 2025 kunnen gaan vergelijken. </w:t>
      </w:r>
    </w:p>
    <w:p w14:paraId="2E784FF5" w14:textId="219BA425" w:rsidR="00EB063D" w:rsidRPr="00BC7AC7" w:rsidRDefault="00F77A74" w:rsidP="004F2BF8">
      <w:pPr>
        <w:shd w:val="clear" w:color="auto" w:fill="FFFFFF"/>
        <w:spacing w:after="100" w:afterAutospacing="1" w:line="240" w:lineRule="auto"/>
        <w:rPr>
          <w:rFonts w:ascii="ubuntu-regular" w:eastAsia="Times New Roman" w:hAnsi="ubuntu-regular" w:cs="Times New Roman"/>
          <w:color w:val="666666"/>
          <w:sz w:val="26"/>
          <w:szCs w:val="26"/>
          <w:lang w:eastAsia="nl-NL"/>
        </w:rPr>
      </w:pPr>
      <w:r w:rsidRPr="00BC7AC7">
        <w:rPr>
          <w:rFonts w:ascii="ubuntu-regular" w:eastAsia="Times New Roman" w:hAnsi="ubuntu-regular" w:cs="Times New Roman"/>
          <w:color w:val="666666"/>
          <w:sz w:val="26"/>
          <w:szCs w:val="26"/>
          <w:lang w:eastAsia="nl-NL"/>
        </w:rPr>
        <w:t>Het blijft mooi om te zien dat steeds meer van onze medewerkers zelf ideeën aandragen om het energieverbruik en daarmee vaak de CO</w:t>
      </w:r>
      <w:r w:rsidRPr="00BC7AC7">
        <w:rPr>
          <w:rFonts w:ascii="ubuntu-regular" w:eastAsia="Times New Roman" w:hAnsi="ubuntu-regular" w:cs="Times New Roman"/>
          <w:color w:val="666666"/>
          <w:sz w:val="26"/>
          <w:szCs w:val="26"/>
          <w:vertAlign w:val="subscript"/>
          <w:lang w:eastAsia="nl-NL"/>
        </w:rPr>
        <w:t>2</w:t>
      </w:r>
      <w:r w:rsidRPr="00BC7AC7">
        <w:rPr>
          <w:rFonts w:ascii="ubuntu-regular" w:eastAsia="Times New Roman" w:hAnsi="ubuntu-regular" w:cs="Times New Roman"/>
          <w:color w:val="666666"/>
          <w:sz w:val="26"/>
          <w:szCs w:val="26"/>
          <w:lang w:eastAsia="nl-NL"/>
        </w:rPr>
        <w:t>-uitstoot te verlagen. Doordat we als bedrijf blijven investeren in modern materieel dat minder verbruikt, raken onze medewerkers steeds meer bevlogen om hun bijdrage te leveren, zowel ‘in de baas zijn tijd’ als in de privésfeer.</w:t>
      </w:r>
    </w:p>
    <w:p w14:paraId="18CFFD41" w14:textId="77777777" w:rsidR="00F77A74" w:rsidRPr="00BC7AC7" w:rsidRDefault="00F77A74" w:rsidP="00EB063D">
      <w:pPr>
        <w:spacing w:after="0" w:line="240" w:lineRule="auto"/>
        <w:rPr>
          <w:rFonts w:ascii="Times New Roman" w:eastAsia="Times New Roman" w:hAnsi="Times New Roman" w:cs="Times New Roman"/>
          <w:sz w:val="24"/>
          <w:szCs w:val="24"/>
          <w:lang w:eastAsia="nl-NL"/>
        </w:rPr>
      </w:pPr>
    </w:p>
    <w:p w14:paraId="58A039F4" w14:textId="77777777" w:rsidR="00EB063D" w:rsidRPr="00BC7AC7" w:rsidRDefault="00EB063D" w:rsidP="00EB063D">
      <w:pPr>
        <w:spacing w:after="300" w:line="450" w:lineRule="atLeast"/>
        <w:outlineLvl w:val="1"/>
        <w:rPr>
          <w:rFonts w:ascii="ubuntu-medium" w:eastAsia="Times New Roman" w:hAnsi="ubuntu-medium" w:cs="Times New Roman"/>
          <w:b/>
          <w:bCs/>
          <w:color w:val="CC0000"/>
          <w:sz w:val="36"/>
          <w:szCs w:val="36"/>
          <w:lang w:eastAsia="nl-NL"/>
        </w:rPr>
      </w:pPr>
      <w:r w:rsidRPr="00BC7AC7">
        <w:rPr>
          <w:rFonts w:ascii="ubuntu-medium" w:eastAsia="Times New Roman" w:hAnsi="ubuntu-medium" w:cs="Times New Roman"/>
          <w:b/>
          <w:bCs/>
          <w:color w:val="CC0000"/>
          <w:sz w:val="36"/>
          <w:szCs w:val="36"/>
          <w:lang w:eastAsia="nl-NL"/>
        </w:rPr>
        <w:t>Meer weten?</w:t>
      </w:r>
    </w:p>
    <w:p w14:paraId="15DC1837" w14:textId="77777777" w:rsidR="00606B4B" w:rsidRPr="00BC7AC7" w:rsidRDefault="00EB063D" w:rsidP="00EB063D">
      <w:pPr>
        <w:spacing w:after="480" w:line="240" w:lineRule="auto"/>
        <w:rPr>
          <w:rFonts w:ascii="Times New Roman" w:eastAsia="Times New Roman" w:hAnsi="Times New Roman" w:cs="Times New Roman"/>
          <w:color w:val="666666"/>
          <w:sz w:val="26"/>
          <w:szCs w:val="26"/>
          <w:lang w:eastAsia="nl-NL"/>
        </w:rPr>
      </w:pPr>
      <w:r w:rsidRPr="00BC7AC7">
        <w:rPr>
          <w:rFonts w:ascii="Times New Roman" w:eastAsia="Times New Roman" w:hAnsi="Times New Roman" w:cs="Times New Roman"/>
          <w:color w:val="666666"/>
          <w:sz w:val="26"/>
          <w:szCs w:val="26"/>
          <w:lang w:eastAsia="nl-NL"/>
        </w:rPr>
        <w:t xml:space="preserve">Wilt u meer weten over onze CO2-prestaties in </w:t>
      </w:r>
      <w:r w:rsidR="00C2011B" w:rsidRPr="00BC7AC7">
        <w:rPr>
          <w:rFonts w:ascii="Times New Roman" w:eastAsia="Times New Roman" w:hAnsi="Times New Roman" w:cs="Times New Roman"/>
          <w:color w:val="666666"/>
          <w:sz w:val="26"/>
          <w:szCs w:val="26"/>
          <w:lang w:eastAsia="nl-NL"/>
        </w:rPr>
        <w:t>de afgelopen jaren</w:t>
      </w:r>
      <w:r w:rsidRPr="00BC7AC7">
        <w:rPr>
          <w:rFonts w:ascii="Times New Roman" w:eastAsia="Times New Roman" w:hAnsi="Times New Roman" w:cs="Times New Roman"/>
          <w:color w:val="666666"/>
          <w:sz w:val="26"/>
          <w:szCs w:val="26"/>
          <w:lang w:eastAsia="nl-NL"/>
        </w:rPr>
        <w:t>, klik dan </w:t>
      </w:r>
      <w:hyperlink r:id="rId13" w:tgtFrame="_blank" w:history="1">
        <w:r w:rsidRPr="00BC7AC7">
          <w:rPr>
            <w:rFonts w:ascii="Times New Roman" w:eastAsia="Times New Roman" w:hAnsi="Times New Roman" w:cs="Times New Roman"/>
            <w:color w:val="CC0000"/>
            <w:sz w:val="26"/>
            <w:szCs w:val="26"/>
            <w:u w:val="single"/>
            <w:lang w:eastAsia="nl-NL"/>
          </w:rPr>
          <w:t>hier</w:t>
        </w:r>
      </w:hyperlink>
      <w:r w:rsidRPr="00BC7AC7">
        <w:rPr>
          <w:rFonts w:ascii="Times New Roman" w:eastAsia="Times New Roman" w:hAnsi="Times New Roman" w:cs="Times New Roman"/>
          <w:color w:val="666666"/>
          <w:sz w:val="26"/>
          <w:szCs w:val="26"/>
          <w:lang w:eastAsia="nl-NL"/>
        </w:rPr>
        <w:t>.</w:t>
      </w:r>
    </w:p>
    <w:p w14:paraId="1DFDF40E" w14:textId="682BAC5B" w:rsidR="00EB063D" w:rsidRPr="004F2BF8" w:rsidRDefault="00EB063D" w:rsidP="004F2BF8">
      <w:pPr>
        <w:spacing w:after="100" w:afterAutospacing="1" w:line="240" w:lineRule="auto"/>
        <w:rPr>
          <w:rFonts w:ascii="Times New Roman" w:eastAsia="Times New Roman" w:hAnsi="Times New Roman" w:cs="Times New Roman"/>
          <w:color w:val="666666"/>
          <w:sz w:val="26"/>
          <w:szCs w:val="26"/>
          <w:lang w:eastAsia="nl-NL"/>
        </w:rPr>
      </w:pPr>
      <w:r w:rsidRPr="00BC7AC7">
        <w:rPr>
          <w:rFonts w:ascii="Times New Roman" w:eastAsia="Times New Roman" w:hAnsi="Times New Roman" w:cs="Times New Roman"/>
          <w:color w:val="666666"/>
          <w:sz w:val="26"/>
          <w:szCs w:val="26"/>
          <w:lang w:eastAsia="nl-NL"/>
        </w:rPr>
        <w:t>Wilt u me</w:t>
      </w:r>
      <w:r w:rsidR="000271ED" w:rsidRPr="00BC7AC7">
        <w:rPr>
          <w:rFonts w:ascii="Times New Roman" w:eastAsia="Times New Roman" w:hAnsi="Times New Roman" w:cs="Times New Roman"/>
          <w:color w:val="666666"/>
          <w:sz w:val="26"/>
          <w:szCs w:val="26"/>
          <w:lang w:eastAsia="nl-NL"/>
        </w:rPr>
        <w:t>er weten over Sturen op co2</w:t>
      </w:r>
      <w:r w:rsidRPr="00BC7AC7">
        <w:rPr>
          <w:rFonts w:ascii="Times New Roman" w:eastAsia="Times New Roman" w:hAnsi="Times New Roman" w:cs="Times New Roman"/>
          <w:color w:val="666666"/>
          <w:sz w:val="26"/>
          <w:szCs w:val="26"/>
          <w:lang w:eastAsia="nl-NL"/>
        </w:rPr>
        <w:t>, klik dan </w:t>
      </w:r>
      <w:hyperlink r:id="rId14" w:tgtFrame="_blank" w:history="1">
        <w:r w:rsidRPr="00BC7AC7">
          <w:rPr>
            <w:rFonts w:ascii="Times New Roman" w:eastAsia="Times New Roman" w:hAnsi="Times New Roman" w:cs="Times New Roman"/>
            <w:color w:val="0000FF"/>
            <w:sz w:val="26"/>
            <w:szCs w:val="26"/>
            <w:u w:val="single"/>
            <w:lang w:eastAsia="nl-NL"/>
          </w:rPr>
          <w:t>hier</w:t>
        </w:r>
      </w:hyperlink>
      <w:r w:rsidRPr="00BC7AC7">
        <w:rPr>
          <w:rFonts w:ascii="Times New Roman" w:eastAsia="Times New Roman" w:hAnsi="Times New Roman" w:cs="Times New Roman"/>
          <w:color w:val="666666"/>
          <w:sz w:val="26"/>
          <w:szCs w:val="26"/>
          <w:lang w:eastAsia="nl-NL"/>
        </w:rPr>
        <w:t>.</w:t>
      </w:r>
      <w:bookmarkStart w:id="0" w:name="_GoBack"/>
      <w:bookmarkEnd w:id="0"/>
    </w:p>
    <w:sectPr w:rsidR="00EB063D" w:rsidRPr="004F2BF8" w:rsidSect="00806BF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31EF5" w14:textId="77777777" w:rsidR="002D6CFB" w:rsidRDefault="002D6CFB" w:rsidP="002A4B93">
      <w:pPr>
        <w:spacing w:after="0" w:line="240" w:lineRule="auto"/>
      </w:pPr>
      <w:r>
        <w:separator/>
      </w:r>
    </w:p>
  </w:endnote>
  <w:endnote w:type="continuationSeparator" w:id="0">
    <w:p w14:paraId="45EEB32C" w14:textId="77777777" w:rsidR="002D6CFB" w:rsidRDefault="002D6CFB" w:rsidP="002A4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ubuntu-medium">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ubuntu-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3011C" w14:textId="77777777" w:rsidR="002D6CFB" w:rsidRDefault="002D6CFB" w:rsidP="002A4B93">
      <w:pPr>
        <w:spacing w:after="0" w:line="240" w:lineRule="auto"/>
      </w:pPr>
      <w:r>
        <w:separator/>
      </w:r>
    </w:p>
  </w:footnote>
  <w:footnote w:type="continuationSeparator" w:id="0">
    <w:p w14:paraId="5CBC13A9" w14:textId="77777777" w:rsidR="002D6CFB" w:rsidRDefault="002D6CFB" w:rsidP="002A4B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hybridMultilevel"/>
    <w:tmpl w:val="95A20546"/>
    <w:lvl w:ilvl="0" w:tplc="8D7A1108">
      <w:start w:val="1"/>
      <w:numFmt w:val="bullet"/>
      <w:lvlText w:val=""/>
      <w:lvlJc w:val="left"/>
      <w:pPr>
        <w:ind w:left="360" w:hanging="360"/>
      </w:pPr>
      <w:rPr>
        <w:rFonts w:ascii="Symbol" w:hAnsi="Symbol" w:hint="default"/>
      </w:rPr>
    </w:lvl>
    <w:lvl w:ilvl="1" w:tplc="A782B6AE">
      <w:start w:val="1"/>
      <w:numFmt w:val="bullet"/>
      <w:lvlText w:val="o"/>
      <w:lvlJc w:val="left"/>
      <w:pPr>
        <w:ind w:left="1080" w:hanging="360"/>
      </w:pPr>
      <w:rPr>
        <w:rFonts w:ascii="Courier New" w:hAnsi="Courier New" w:hint="default"/>
      </w:rPr>
    </w:lvl>
    <w:lvl w:ilvl="2" w:tplc="E21CFC36" w:tentative="1">
      <w:start w:val="1"/>
      <w:numFmt w:val="bullet"/>
      <w:lvlText w:val=""/>
      <w:lvlJc w:val="left"/>
      <w:pPr>
        <w:ind w:left="1800" w:hanging="360"/>
      </w:pPr>
      <w:rPr>
        <w:rFonts w:ascii="Wingdings" w:hAnsi="Wingdings" w:hint="default"/>
      </w:rPr>
    </w:lvl>
    <w:lvl w:ilvl="3" w:tplc="5A3E8048" w:tentative="1">
      <w:start w:val="1"/>
      <w:numFmt w:val="bullet"/>
      <w:lvlText w:val=""/>
      <w:lvlJc w:val="left"/>
      <w:pPr>
        <w:ind w:left="2520" w:hanging="360"/>
      </w:pPr>
      <w:rPr>
        <w:rFonts w:ascii="Symbol" w:hAnsi="Symbol" w:hint="default"/>
      </w:rPr>
    </w:lvl>
    <w:lvl w:ilvl="4" w:tplc="CE4A934A" w:tentative="1">
      <w:start w:val="1"/>
      <w:numFmt w:val="bullet"/>
      <w:lvlText w:val="o"/>
      <w:lvlJc w:val="left"/>
      <w:pPr>
        <w:ind w:left="3240" w:hanging="360"/>
      </w:pPr>
      <w:rPr>
        <w:rFonts w:ascii="Courier New" w:hAnsi="Courier New" w:hint="default"/>
      </w:rPr>
    </w:lvl>
    <w:lvl w:ilvl="5" w:tplc="24C6275A" w:tentative="1">
      <w:start w:val="1"/>
      <w:numFmt w:val="bullet"/>
      <w:lvlText w:val=""/>
      <w:lvlJc w:val="left"/>
      <w:pPr>
        <w:ind w:left="3960" w:hanging="360"/>
      </w:pPr>
      <w:rPr>
        <w:rFonts w:ascii="Wingdings" w:hAnsi="Wingdings" w:hint="default"/>
      </w:rPr>
    </w:lvl>
    <w:lvl w:ilvl="6" w:tplc="1244285A" w:tentative="1">
      <w:start w:val="1"/>
      <w:numFmt w:val="bullet"/>
      <w:lvlText w:val=""/>
      <w:lvlJc w:val="left"/>
      <w:pPr>
        <w:ind w:left="4680" w:hanging="360"/>
      </w:pPr>
      <w:rPr>
        <w:rFonts w:ascii="Symbol" w:hAnsi="Symbol" w:hint="default"/>
      </w:rPr>
    </w:lvl>
    <w:lvl w:ilvl="7" w:tplc="70C81DCC" w:tentative="1">
      <w:start w:val="1"/>
      <w:numFmt w:val="bullet"/>
      <w:lvlText w:val="o"/>
      <w:lvlJc w:val="left"/>
      <w:pPr>
        <w:ind w:left="5400" w:hanging="360"/>
      </w:pPr>
      <w:rPr>
        <w:rFonts w:ascii="Courier New" w:hAnsi="Courier New" w:hint="default"/>
      </w:rPr>
    </w:lvl>
    <w:lvl w:ilvl="8" w:tplc="7320059E" w:tentative="1">
      <w:start w:val="1"/>
      <w:numFmt w:val="bullet"/>
      <w:lvlText w:val=""/>
      <w:lvlJc w:val="left"/>
      <w:pPr>
        <w:ind w:left="6120" w:hanging="360"/>
      </w:pPr>
      <w:rPr>
        <w:rFonts w:ascii="Wingdings" w:hAnsi="Wingdings" w:hint="default"/>
      </w:rPr>
    </w:lvl>
  </w:abstractNum>
  <w:abstractNum w:abstractNumId="1" w15:restartNumberingAfterBreak="0">
    <w:nsid w:val="0000000E"/>
    <w:multiLevelType w:val="hybridMultilevel"/>
    <w:tmpl w:val="A670BB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1AF15B9"/>
    <w:multiLevelType w:val="multilevel"/>
    <w:tmpl w:val="0413001F"/>
    <w:lvl w:ilvl="0">
      <w:start w:val="1"/>
      <w:numFmt w:val="decimal"/>
      <w:lvlText w:val="%1."/>
      <w:lvlJc w:val="left"/>
      <w:pPr>
        <w:ind w:left="644"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553738B"/>
    <w:multiLevelType w:val="hybridMultilevel"/>
    <w:tmpl w:val="FEE8C3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DC3766E"/>
    <w:multiLevelType w:val="multilevel"/>
    <w:tmpl w:val="5548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63D"/>
    <w:rsid w:val="000043AC"/>
    <w:rsid w:val="00014447"/>
    <w:rsid w:val="000271ED"/>
    <w:rsid w:val="0006677C"/>
    <w:rsid w:val="000C4903"/>
    <w:rsid w:val="000E1161"/>
    <w:rsid w:val="002A4B93"/>
    <w:rsid w:val="002B7977"/>
    <w:rsid w:val="002D6CFB"/>
    <w:rsid w:val="00396550"/>
    <w:rsid w:val="003D68A1"/>
    <w:rsid w:val="00423D03"/>
    <w:rsid w:val="00451C68"/>
    <w:rsid w:val="004A5C8C"/>
    <w:rsid w:val="004C5FBA"/>
    <w:rsid w:val="004D1A86"/>
    <w:rsid w:val="004D4DC8"/>
    <w:rsid w:val="004F2BF8"/>
    <w:rsid w:val="00521914"/>
    <w:rsid w:val="005B6A8F"/>
    <w:rsid w:val="005C4E57"/>
    <w:rsid w:val="00606B4B"/>
    <w:rsid w:val="00607BEA"/>
    <w:rsid w:val="00666644"/>
    <w:rsid w:val="006873F3"/>
    <w:rsid w:val="007179EB"/>
    <w:rsid w:val="00762B98"/>
    <w:rsid w:val="00792904"/>
    <w:rsid w:val="00806BFE"/>
    <w:rsid w:val="00863D24"/>
    <w:rsid w:val="00931D9F"/>
    <w:rsid w:val="00942221"/>
    <w:rsid w:val="00A40716"/>
    <w:rsid w:val="00A428DD"/>
    <w:rsid w:val="00A82EAA"/>
    <w:rsid w:val="00B008E8"/>
    <w:rsid w:val="00BC7AC7"/>
    <w:rsid w:val="00C2011B"/>
    <w:rsid w:val="00C51EF2"/>
    <w:rsid w:val="00C67395"/>
    <w:rsid w:val="00D17347"/>
    <w:rsid w:val="00EB063D"/>
    <w:rsid w:val="00F611DF"/>
    <w:rsid w:val="00F77A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A4665"/>
  <w15:chartTrackingRefBased/>
  <w15:docId w15:val="{BA4EBB49-11E8-49AA-A803-AFB9F450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EB06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EB063D"/>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EB063D"/>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063D"/>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EB063D"/>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EB063D"/>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EB063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EB063D"/>
    <w:rPr>
      <w:color w:val="0000FF"/>
      <w:u w:val="single"/>
    </w:rPr>
  </w:style>
  <w:style w:type="table" w:styleId="Tabelraster">
    <w:name w:val="Table Grid"/>
    <w:basedOn w:val="Standaardtabel"/>
    <w:uiPriority w:val="39"/>
    <w:rsid w:val="0006677C"/>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6677C"/>
    <w:pPr>
      <w:ind w:left="720"/>
      <w:contextualSpacing/>
    </w:pPr>
  </w:style>
  <w:style w:type="table" w:customStyle="1" w:styleId="Tabelraster1">
    <w:name w:val="Tabelraster1"/>
    <w:basedOn w:val="Standaardtabel"/>
    <w:next w:val="Tabelraster"/>
    <w:uiPriority w:val="39"/>
    <w:rsid w:val="005B6A8F"/>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A4B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4B93"/>
  </w:style>
  <w:style w:type="paragraph" w:styleId="Voettekst">
    <w:name w:val="footer"/>
    <w:basedOn w:val="Standaard"/>
    <w:link w:val="VoettekstChar"/>
    <w:uiPriority w:val="99"/>
    <w:unhideWhenUsed/>
    <w:rsid w:val="002A4B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4B93"/>
  </w:style>
  <w:style w:type="paragraph" w:styleId="Ballontekst">
    <w:name w:val="Balloon Text"/>
    <w:basedOn w:val="Standaard"/>
    <w:link w:val="BallontekstChar"/>
    <w:uiPriority w:val="99"/>
    <w:semiHidden/>
    <w:unhideWhenUsed/>
    <w:rsid w:val="0066664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666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64583">
      <w:bodyDiv w:val="1"/>
      <w:marLeft w:val="0"/>
      <w:marRight w:val="0"/>
      <w:marTop w:val="0"/>
      <w:marBottom w:val="0"/>
      <w:divBdr>
        <w:top w:val="none" w:sz="0" w:space="0" w:color="auto"/>
        <w:left w:val="none" w:sz="0" w:space="0" w:color="auto"/>
        <w:bottom w:val="none" w:sz="0" w:space="0" w:color="auto"/>
        <w:right w:val="none" w:sz="0" w:space="0" w:color="auto"/>
      </w:divBdr>
      <w:divsChild>
        <w:div w:id="1215432611">
          <w:marLeft w:val="0"/>
          <w:marRight w:val="0"/>
          <w:marTop w:val="0"/>
          <w:marBottom w:val="0"/>
          <w:divBdr>
            <w:top w:val="none" w:sz="0" w:space="0" w:color="auto"/>
            <w:left w:val="none" w:sz="0" w:space="0" w:color="auto"/>
            <w:bottom w:val="none" w:sz="0" w:space="0" w:color="auto"/>
            <w:right w:val="none" w:sz="0" w:space="0" w:color="auto"/>
          </w:divBdr>
          <w:divsChild>
            <w:div w:id="537812974">
              <w:marLeft w:val="0"/>
              <w:marRight w:val="0"/>
              <w:marTop w:val="0"/>
              <w:marBottom w:val="0"/>
              <w:divBdr>
                <w:top w:val="none" w:sz="0" w:space="0" w:color="auto"/>
                <w:left w:val="none" w:sz="0" w:space="0" w:color="auto"/>
                <w:bottom w:val="none" w:sz="0" w:space="0" w:color="auto"/>
                <w:right w:val="none" w:sz="0" w:space="0" w:color="auto"/>
              </w:divBdr>
              <w:divsChild>
                <w:div w:id="1530559267">
                  <w:marLeft w:val="0"/>
                  <w:marRight w:val="0"/>
                  <w:marTop w:val="0"/>
                  <w:marBottom w:val="0"/>
                  <w:divBdr>
                    <w:top w:val="none" w:sz="0" w:space="0" w:color="auto"/>
                    <w:left w:val="none" w:sz="0" w:space="0" w:color="auto"/>
                    <w:bottom w:val="none" w:sz="0" w:space="0" w:color="auto"/>
                    <w:right w:val="none" w:sz="0" w:space="0" w:color="auto"/>
                  </w:divBdr>
                </w:div>
              </w:divsChild>
            </w:div>
            <w:div w:id="251084483">
              <w:marLeft w:val="0"/>
              <w:marRight w:val="0"/>
              <w:marTop w:val="0"/>
              <w:marBottom w:val="0"/>
              <w:divBdr>
                <w:top w:val="none" w:sz="0" w:space="0" w:color="auto"/>
                <w:left w:val="none" w:sz="0" w:space="0" w:color="auto"/>
                <w:bottom w:val="none" w:sz="0" w:space="0" w:color="auto"/>
                <w:right w:val="none" w:sz="0" w:space="0" w:color="auto"/>
              </w:divBdr>
              <w:divsChild>
                <w:div w:id="795375246">
                  <w:marLeft w:val="0"/>
                  <w:marRight w:val="0"/>
                  <w:marTop w:val="0"/>
                  <w:marBottom w:val="0"/>
                  <w:divBdr>
                    <w:top w:val="none" w:sz="0" w:space="0" w:color="auto"/>
                    <w:left w:val="none" w:sz="0" w:space="0" w:color="auto"/>
                    <w:bottom w:val="none" w:sz="0" w:space="0" w:color="auto"/>
                    <w:right w:val="none" w:sz="0" w:space="0" w:color="auto"/>
                  </w:divBdr>
                  <w:divsChild>
                    <w:div w:id="1424910134">
                      <w:marLeft w:val="0"/>
                      <w:marRight w:val="0"/>
                      <w:marTop w:val="0"/>
                      <w:marBottom w:val="0"/>
                      <w:divBdr>
                        <w:top w:val="none" w:sz="0" w:space="0" w:color="auto"/>
                        <w:left w:val="none" w:sz="0" w:space="0" w:color="auto"/>
                        <w:bottom w:val="none" w:sz="0" w:space="0" w:color="auto"/>
                        <w:right w:val="none" w:sz="0" w:space="0" w:color="auto"/>
                      </w:divBdr>
                    </w:div>
                  </w:divsChild>
                </w:div>
                <w:div w:id="566762882">
                  <w:marLeft w:val="0"/>
                  <w:marRight w:val="0"/>
                  <w:marTop w:val="0"/>
                  <w:marBottom w:val="0"/>
                  <w:divBdr>
                    <w:top w:val="none" w:sz="0" w:space="0" w:color="auto"/>
                    <w:left w:val="none" w:sz="0" w:space="0" w:color="auto"/>
                    <w:bottom w:val="none" w:sz="0" w:space="0" w:color="auto"/>
                    <w:right w:val="none" w:sz="0" w:space="0" w:color="auto"/>
                  </w:divBdr>
                  <w:divsChild>
                    <w:div w:id="377510626">
                      <w:marLeft w:val="0"/>
                      <w:marRight w:val="0"/>
                      <w:marTop w:val="0"/>
                      <w:marBottom w:val="0"/>
                      <w:divBdr>
                        <w:top w:val="none" w:sz="0" w:space="0" w:color="auto"/>
                        <w:left w:val="none" w:sz="0" w:space="0" w:color="auto"/>
                        <w:bottom w:val="none" w:sz="0" w:space="0" w:color="auto"/>
                        <w:right w:val="none" w:sz="0" w:space="0" w:color="auto"/>
                      </w:divBdr>
                      <w:divsChild>
                        <w:div w:id="1381125197">
                          <w:marLeft w:val="0"/>
                          <w:marRight w:val="0"/>
                          <w:marTop w:val="0"/>
                          <w:marBottom w:val="420"/>
                          <w:divBdr>
                            <w:top w:val="none" w:sz="0" w:space="0" w:color="auto"/>
                            <w:left w:val="none" w:sz="0" w:space="0" w:color="auto"/>
                            <w:bottom w:val="none" w:sz="0" w:space="0" w:color="auto"/>
                            <w:right w:val="none" w:sz="0" w:space="0" w:color="auto"/>
                          </w:divBdr>
                        </w:div>
                        <w:div w:id="376201133">
                          <w:marLeft w:val="0"/>
                          <w:marRight w:val="0"/>
                          <w:marTop w:val="0"/>
                          <w:marBottom w:val="420"/>
                          <w:divBdr>
                            <w:top w:val="none" w:sz="0" w:space="0" w:color="auto"/>
                            <w:left w:val="none" w:sz="0" w:space="0" w:color="auto"/>
                            <w:bottom w:val="none" w:sz="0" w:space="0" w:color="auto"/>
                            <w:right w:val="none" w:sz="0" w:space="0" w:color="auto"/>
                          </w:divBdr>
                        </w:div>
                        <w:div w:id="2192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454786">
          <w:marLeft w:val="0"/>
          <w:marRight w:val="0"/>
          <w:marTop w:val="0"/>
          <w:marBottom w:val="0"/>
          <w:divBdr>
            <w:top w:val="none" w:sz="0" w:space="0" w:color="auto"/>
            <w:left w:val="none" w:sz="0" w:space="0" w:color="auto"/>
            <w:bottom w:val="none" w:sz="0" w:space="0" w:color="auto"/>
            <w:right w:val="none" w:sz="0" w:space="0" w:color="auto"/>
          </w:divBdr>
          <w:divsChild>
            <w:div w:id="1688406878">
              <w:marLeft w:val="0"/>
              <w:marRight w:val="0"/>
              <w:marTop w:val="0"/>
              <w:marBottom w:val="0"/>
              <w:divBdr>
                <w:top w:val="none" w:sz="0" w:space="0" w:color="auto"/>
                <w:left w:val="none" w:sz="0" w:space="0" w:color="auto"/>
                <w:bottom w:val="none" w:sz="0" w:space="0" w:color="auto"/>
                <w:right w:val="none" w:sz="0" w:space="0" w:color="auto"/>
              </w:divBdr>
              <w:divsChild>
                <w:div w:id="1380737771">
                  <w:marLeft w:val="0"/>
                  <w:marRight w:val="0"/>
                  <w:marTop w:val="0"/>
                  <w:marBottom w:val="0"/>
                  <w:divBdr>
                    <w:top w:val="none" w:sz="0" w:space="0" w:color="auto"/>
                    <w:left w:val="none" w:sz="0" w:space="0" w:color="auto"/>
                    <w:bottom w:val="none" w:sz="0" w:space="0" w:color="auto"/>
                    <w:right w:val="none" w:sz="0" w:space="0" w:color="auto"/>
                  </w:divBdr>
                  <w:divsChild>
                    <w:div w:id="1930503563">
                      <w:marLeft w:val="0"/>
                      <w:marRight w:val="0"/>
                      <w:marTop w:val="0"/>
                      <w:marBottom w:val="0"/>
                      <w:divBdr>
                        <w:top w:val="none" w:sz="0" w:space="0" w:color="auto"/>
                        <w:left w:val="none" w:sz="0" w:space="0" w:color="auto"/>
                        <w:bottom w:val="none" w:sz="0" w:space="0" w:color="auto"/>
                        <w:right w:val="none" w:sz="0" w:space="0" w:color="auto"/>
                      </w:divBdr>
                    </w:div>
                  </w:divsChild>
                </w:div>
                <w:div w:id="1457216161">
                  <w:marLeft w:val="0"/>
                  <w:marRight w:val="0"/>
                  <w:marTop w:val="0"/>
                  <w:marBottom w:val="0"/>
                  <w:divBdr>
                    <w:top w:val="none" w:sz="0" w:space="0" w:color="auto"/>
                    <w:left w:val="none" w:sz="0" w:space="0" w:color="auto"/>
                    <w:bottom w:val="none" w:sz="0" w:space="0" w:color="auto"/>
                    <w:right w:val="none" w:sz="0" w:space="0" w:color="auto"/>
                  </w:divBdr>
                  <w:divsChild>
                    <w:div w:id="6561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133198">
          <w:marLeft w:val="0"/>
          <w:marRight w:val="0"/>
          <w:marTop w:val="0"/>
          <w:marBottom w:val="0"/>
          <w:divBdr>
            <w:top w:val="none" w:sz="0" w:space="0" w:color="auto"/>
            <w:left w:val="none" w:sz="0" w:space="0" w:color="auto"/>
            <w:bottom w:val="none" w:sz="0" w:space="0" w:color="auto"/>
            <w:right w:val="none" w:sz="0" w:space="0" w:color="auto"/>
          </w:divBdr>
          <w:divsChild>
            <w:div w:id="82067069">
              <w:marLeft w:val="0"/>
              <w:marRight w:val="0"/>
              <w:marTop w:val="0"/>
              <w:marBottom w:val="0"/>
              <w:divBdr>
                <w:top w:val="none" w:sz="0" w:space="0" w:color="auto"/>
                <w:left w:val="none" w:sz="0" w:space="0" w:color="auto"/>
                <w:bottom w:val="none" w:sz="0" w:space="0" w:color="auto"/>
                <w:right w:val="none" w:sz="0" w:space="0" w:color="auto"/>
              </w:divBdr>
              <w:divsChild>
                <w:div w:id="166408355">
                  <w:marLeft w:val="0"/>
                  <w:marRight w:val="0"/>
                  <w:marTop w:val="0"/>
                  <w:marBottom w:val="0"/>
                  <w:divBdr>
                    <w:top w:val="none" w:sz="0" w:space="0" w:color="auto"/>
                    <w:left w:val="none" w:sz="0" w:space="0" w:color="auto"/>
                    <w:bottom w:val="none" w:sz="0" w:space="0" w:color="auto"/>
                    <w:right w:val="none" w:sz="0" w:space="0" w:color="auto"/>
                  </w:divBdr>
                  <w:divsChild>
                    <w:div w:id="1101342663">
                      <w:marLeft w:val="0"/>
                      <w:marRight w:val="0"/>
                      <w:marTop w:val="0"/>
                      <w:marBottom w:val="0"/>
                      <w:divBdr>
                        <w:top w:val="none" w:sz="0" w:space="0" w:color="auto"/>
                        <w:left w:val="none" w:sz="0" w:space="0" w:color="auto"/>
                        <w:bottom w:val="none" w:sz="0" w:space="0" w:color="auto"/>
                        <w:right w:val="none" w:sz="0" w:space="0" w:color="auto"/>
                      </w:divBdr>
                      <w:divsChild>
                        <w:div w:id="1376201827">
                          <w:marLeft w:val="0"/>
                          <w:marRight w:val="0"/>
                          <w:marTop w:val="0"/>
                          <w:marBottom w:val="420"/>
                          <w:divBdr>
                            <w:top w:val="none" w:sz="0" w:space="0" w:color="auto"/>
                            <w:left w:val="none" w:sz="0" w:space="0" w:color="auto"/>
                            <w:bottom w:val="none" w:sz="0" w:space="0" w:color="auto"/>
                            <w:right w:val="none" w:sz="0" w:space="0" w:color="auto"/>
                          </w:divBdr>
                        </w:div>
                        <w:div w:id="141107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86691">
          <w:marLeft w:val="0"/>
          <w:marRight w:val="0"/>
          <w:marTop w:val="0"/>
          <w:marBottom w:val="0"/>
          <w:divBdr>
            <w:top w:val="none" w:sz="0" w:space="0" w:color="auto"/>
            <w:left w:val="none" w:sz="0" w:space="0" w:color="auto"/>
            <w:bottom w:val="none" w:sz="0" w:space="0" w:color="auto"/>
            <w:right w:val="none" w:sz="0" w:space="0" w:color="auto"/>
          </w:divBdr>
          <w:divsChild>
            <w:div w:id="1073165014">
              <w:marLeft w:val="0"/>
              <w:marRight w:val="0"/>
              <w:marTop w:val="0"/>
              <w:marBottom w:val="0"/>
              <w:divBdr>
                <w:top w:val="none" w:sz="0" w:space="0" w:color="auto"/>
                <w:left w:val="none" w:sz="0" w:space="0" w:color="auto"/>
                <w:bottom w:val="none" w:sz="0" w:space="0" w:color="auto"/>
                <w:right w:val="none" w:sz="0" w:space="0" w:color="auto"/>
              </w:divBdr>
              <w:divsChild>
                <w:div w:id="1463572945">
                  <w:marLeft w:val="0"/>
                  <w:marRight w:val="0"/>
                  <w:marTop w:val="0"/>
                  <w:marBottom w:val="0"/>
                  <w:divBdr>
                    <w:top w:val="none" w:sz="0" w:space="0" w:color="auto"/>
                    <w:left w:val="none" w:sz="0" w:space="0" w:color="auto"/>
                    <w:bottom w:val="none" w:sz="0" w:space="0" w:color="auto"/>
                    <w:right w:val="none" w:sz="0" w:space="0" w:color="auto"/>
                  </w:divBdr>
                  <w:divsChild>
                    <w:div w:id="29776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7597">
          <w:marLeft w:val="0"/>
          <w:marRight w:val="0"/>
          <w:marTop w:val="0"/>
          <w:marBottom w:val="0"/>
          <w:divBdr>
            <w:top w:val="none" w:sz="0" w:space="0" w:color="auto"/>
            <w:left w:val="none" w:sz="0" w:space="0" w:color="auto"/>
            <w:bottom w:val="none" w:sz="0" w:space="0" w:color="auto"/>
            <w:right w:val="none" w:sz="0" w:space="0" w:color="auto"/>
          </w:divBdr>
          <w:divsChild>
            <w:div w:id="1462698265">
              <w:marLeft w:val="0"/>
              <w:marRight w:val="0"/>
              <w:marTop w:val="0"/>
              <w:marBottom w:val="0"/>
              <w:divBdr>
                <w:top w:val="none" w:sz="0" w:space="0" w:color="auto"/>
                <w:left w:val="none" w:sz="0" w:space="0" w:color="auto"/>
                <w:bottom w:val="none" w:sz="0" w:space="0" w:color="auto"/>
                <w:right w:val="none" w:sz="0" w:space="0" w:color="auto"/>
              </w:divBdr>
              <w:divsChild>
                <w:div w:id="1970815113">
                  <w:marLeft w:val="0"/>
                  <w:marRight w:val="0"/>
                  <w:marTop w:val="0"/>
                  <w:marBottom w:val="0"/>
                  <w:divBdr>
                    <w:top w:val="none" w:sz="0" w:space="0" w:color="auto"/>
                    <w:left w:val="none" w:sz="0" w:space="0" w:color="auto"/>
                    <w:bottom w:val="none" w:sz="0" w:space="0" w:color="auto"/>
                    <w:right w:val="none" w:sz="0" w:space="0" w:color="auto"/>
                  </w:divBdr>
                  <w:divsChild>
                    <w:div w:id="141986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84541">
          <w:marLeft w:val="0"/>
          <w:marRight w:val="0"/>
          <w:marTop w:val="0"/>
          <w:marBottom w:val="0"/>
          <w:divBdr>
            <w:top w:val="none" w:sz="0" w:space="0" w:color="auto"/>
            <w:left w:val="none" w:sz="0" w:space="0" w:color="auto"/>
            <w:bottom w:val="none" w:sz="0" w:space="0" w:color="auto"/>
            <w:right w:val="none" w:sz="0" w:space="0" w:color="auto"/>
          </w:divBdr>
          <w:divsChild>
            <w:div w:id="27068239">
              <w:marLeft w:val="0"/>
              <w:marRight w:val="0"/>
              <w:marTop w:val="0"/>
              <w:marBottom w:val="0"/>
              <w:divBdr>
                <w:top w:val="none" w:sz="0" w:space="0" w:color="auto"/>
                <w:left w:val="none" w:sz="0" w:space="0" w:color="auto"/>
                <w:bottom w:val="none" w:sz="0" w:space="0" w:color="auto"/>
                <w:right w:val="none" w:sz="0" w:space="0" w:color="auto"/>
              </w:divBdr>
              <w:divsChild>
                <w:div w:id="1893534888">
                  <w:marLeft w:val="0"/>
                  <w:marRight w:val="0"/>
                  <w:marTop w:val="0"/>
                  <w:marBottom w:val="0"/>
                  <w:divBdr>
                    <w:top w:val="none" w:sz="0" w:space="0" w:color="auto"/>
                    <w:left w:val="none" w:sz="0" w:space="0" w:color="auto"/>
                    <w:bottom w:val="none" w:sz="0" w:space="0" w:color="auto"/>
                    <w:right w:val="none" w:sz="0" w:space="0" w:color="auto"/>
                  </w:divBdr>
                  <w:divsChild>
                    <w:div w:id="494498186">
                      <w:marLeft w:val="0"/>
                      <w:marRight w:val="0"/>
                      <w:marTop w:val="0"/>
                      <w:marBottom w:val="0"/>
                      <w:divBdr>
                        <w:top w:val="none" w:sz="0" w:space="0" w:color="auto"/>
                        <w:left w:val="none" w:sz="0" w:space="0" w:color="auto"/>
                        <w:bottom w:val="none" w:sz="0" w:space="0" w:color="auto"/>
                        <w:right w:val="none" w:sz="0" w:space="0" w:color="auto"/>
                      </w:divBdr>
                      <w:divsChild>
                        <w:div w:id="930967814">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 w:id="839153914">
          <w:marLeft w:val="0"/>
          <w:marRight w:val="0"/>
          <w:marTop w:val="0"/>
          <w:marBottom w:val="0"/>
          <w:divBdr>
            <w:top w:val="none" w:sz="0" w:space="0" w:color="auto"/>
            <w:left w:val="none" w:sz="0" w:space="0" w:color="auto"/>
            <w:bottom w:val="none" w:sz="0" w:space="0" w:color="auto"/>
            <w:right w:val="none" w:sz="0" w:space="0" w:color="auto"/>
          </w:divBdr>
          <w:divsChild>
            <w:div w:id="1360547783">
              <w:marLeft w:val="0"/>
              <w:marRight w:val="0"/>
              <w:marTop w:val="0"/>
              <w:marBottom w:val="0"/>
              <w:divBdr>
                <w:top w:val="none" w:sz="0" w:space="0" w:color="auto"/>
                <w:left w:val="none" w:sz="0" w:space="0" w:color="auto"/>
                <w:bottom w:val="none" w:sz="0" w:space="0" w:color="auto"/>
                <w:right w:val="none" w:sz="0" w:space="0" w:color="auto"/>
              </w:divBdr>
              <w:divsChild>
                <w:div w:id="1089306468">
                  <w:marLeft w:val="0"/>
                  <w:marRight w:val="0"/>
                  <w:marTop w:val="0"/>
                  <w:marBottom w:val="0"/>
                  <w:divBdr>
                    <w:top w:val="none" w:sz="0" w:space="0" w:color="auto"/>
                    <w:left w:val="none" w:sz="0" w:space="0" w:color="auto"/>
                    <w:bottom w:val="none" w:sz="0" w:space="0" w:color="auto"/>
                    <w:right w:val="none" w:sz="0" w:space="0" w:color="auto"/>
                  </w:divBdr>
                  <w:divsChild>
                    <w:div w:id="1919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230561">
          <w:marLeft w:val="0"/>
          <w:marRight w:val="0"/>
          <w:marTop w:val="0"/>
          <w:marBottom w:val="0"/>
          <w:divBdr>
            <w:top w:val="none" w:sz="0" w:space="0" w:color="auto"/>
            <w:left w:val="none" w:sz="0" w:space="0" w:color="auto"/>
            <w:bottom w:val="none" w:sz="0" w:space="0" w:color="auto"/>
            <w:right w:val="none" w:sz="0" w:space="0" w:color="auto"/>
          </w:divBdr>
          <w:divsChild>
            <w:div w:id="67651163">
              <w:marLeft w:val="0"/>
              <w:marRight w:val="0"/>
              <w:marTop w:val="0"/>
              <w:marBottom w:val="0"/>
              <w:divBdr>
                <w:top w:val="none" w:sz="0" w:space="0" w:color="auto"/>
                <w:left w:val="none" w:sz="0" w:space="0" w:color="auto"/>
                <w:bottom w:val="none" w:sz="0" w:space="0" w:color="auto"/>
                <w:right w:val="none" w:sz="0" w:space="0" w:color="auto"/>
              </w:divBdr>
              <w:divsChild>
                <w:div w:id="795174301">
                  <w:marLeft w:val="0"/>
                  <w:marRight w:val="0"/>
                  <w:marTop w:val="0"/>
                  <w:marBottom w:val="0"/>
                  <w:divBdr>
                    <w:top w:val="none" w:sz="0" w:space="0" w:color="auto"/>
                    <w:left w:val="none" w:sz="0" w:space="0" w:color="auto"/>
                    <w:bottom w:val="none" w:sz="0" w:space="0" w:color="auto"/>
                    <w:right w:val="none" w:sz="0" w:space="0" w:color="auto"/>
                  </w:divBdr>
                </w:div>
                <w:div w:id="397946596">
                  <w:marLeft w:val="0"/>
                  <w:marRight w:val="0"/>
                  <w:marTop w:val="0"/>
                  <w:marBottom w:val="0"/>
                  <w:divBdr>
                    <w:top w:val="none" w:sz="0" w:space="0" w:color="auto"/>
                    <w:left w:val="none" w:sz="0" w:space="0" w:color="auto"/>
                    <w:bottom w:val="none" w:sz="0" w:space="0" w:color="auto"/>
                    <w:right w:val="none" w:sz="0" w:space="0" w:color="auto"/>
                  </w:divBdr>
                  <w:divsChild>
                    <w:div w:id="2112241265">
                      <w:marLeft w:val="0"/>
                      <w:marRight w:val="0"/>
                      <w:marTop w:val="0"/>
                      <w:marBottom w:val="0"/>
                      <w:divBdr>
                        <w:top w:val="none" w:sz="0" w:space="0" w:color="auto"/>
                        <w:left w:val="none" w:sz="0" w:space="0" w:color="auto"/>
                        <w:bottom w:val="none" w:sz="0" w:space="0" w:color="auto"/>
                        <w:right w:val="none" w:sz="0" w:space="0" w:color="auto"/>
                      </w:divBdr>
                      <w:divsChild>
                        <w:div w:id="13883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uurzaamcollectief.nl/loonbedrijf-van-ett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uurzaamcollectief.nl/"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2" Type="http://schemas.openxmlformats.org/officeDocument/2006/relationships/oleObject" Target="file:///\\etten\Data\DATA\CO2%20FOOTPRINT\2021\Footprint%20rekenmodule%20%20geheel%202021%20V01.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Totale CO</a:t>
            </a:r>
            <a:r>
              <a:rPr lang="en-US" baseline="-25000"/>
              <a:t>2</a:t>
            </a:r>
            <a:r>
              <a:rPr lang="en-US"/>
              <a:t> uitstoot per jaar</a:t>
            </a:r>
          </a:p>
        </c:rich>
      </c:tx>
      <c:layout>
        <c:manualLayout>
          <c:xMode val="edge"/>
          <c:yMode val="edge"/>
          <c:x val="0.27199300087489064"/>
          <c:y val="2.7777777777777776E-2"/>
        </c:manualLayout>
      </c:layout>
      <c:overlay val="0"/>
      <c:spPr>
        <a:noFill/>
        <a:ln w="25400">
          <a:noFill/>
        </a:ln>
      </c:spPr>
    </c:title>
    <c:autoTitleDeleted val="0"/>
    <c:view3D>
      <c:rotX val="15"/>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8.080314960629921E-2"/>
          <c:y val="0.16245370370370371"/>
          <c:w val="0.725739501312336"/>
          <c:h val="0.72088764946048411"/>
        </c:manualLayout>
      </c:layout>
      <c:bar3DChart>
        <c:barDir val="col"/>
        <c:grouping val="stacked"/>
        <c:varyColors val="0"/>
        <c:ser>
          <c:idx val="1"/>
          <c:order val="0"/>
          <c:tx>
            <c:strRef>
              <c:f>'data-inventarisatie'!$B$84</c:f>
              <c:strCache>
                <c:ptCount val="1"/>
                <c:pt idx="0">
                  <c:v>Scope 1</c:v>
                </c:pt>
              </c:strCache>
            </c:strRef>
          </c:tx>
          <c:spPr>
            <a:solidFill>
              <a:srgbClr val="C0504D"/>
            </a:solidFill>
            <a:ln w="25400">
              <a:noFill/>
            </a:ln>
          </c:spPr>
          <c:invertIfNegative val="0"/>
          <c:cat>
            <c:numRef>
              <c:f>'data-inventarisatie'!$A$85:$A$94</c:f>
              <c:numCache>
                <c:formatCode>General</c:formatCode>
                <c:ptCount val="10"/>
                <c:pt idx="0">
                  <c:v>2013</c:v>
                </c:pt>
                <c:pt idx="1">
                  <c:v>2015</c:v>
                </c:pt>
                <c:pt idx="2">
                  <c:v>2016</c:v>
                </c:pt>
                <c:pt idx="3">
                  <c:v>2017</c:v>
                </c:pt>
                <c:pt idx="4">
                  <c:v>2018</c:v>
                </c:pt>
                <c:pt idx="5">
                  <c:v>2019</c:v>
                </c:pt>
                <c:pt idx="6">
                  <c:v>2020</c:v>
                </c:pt>
                <c:pt idx="7">
                  <c:v>2021</c:v>
                </c:pt>
                <c:pt idx="8">
                  <c:v>2022</c:v>
                </c:pt>
                <c:pt idx="9">
                  <c:v>2023</c:v>
                </c:pt>
              </c:numCache>
            </c:numRef>
          </c:cat>
          <c:val>
            <c:numRef>
              <c:f>'data-inventarisatie'!$B$85:$B$94</c:f>
              <c:numCache>
                <c:formatCode>General</c:formatCode>
                <c:ptCount val="10"/>
                <c:pt idx="0">
                  <c:v>3372.5</c:v>
                </c:pt>
                <c:pt idx="1">
                  <c:v>3534</c:v>
                </c:pt>
                <c:pt idx="2">
                  <c:v>3554</c:v>
                </c:pt>
                <c:pt idx="3">
                  <c:v>3588.5</c:v>
                </c:pt>
                <c:pt idx="4">
                  <c:v>3971.3</c:v>
                </c:pt>
                <c:pt idx="5">
                  <c:v>3814.2</c:v>
                </c:pt>
                <c:pt idx="6" formatCode="#,##0.0">
                  <c:v>4296.2</c:v>
                </c:pt>
                <c:pt idx="7" formatCode="#,##0.0">
                  <c:v>4134.2</c:v>
                </c:pt>
                <c:pt idx="8" formatCode="#,##0.0">
                  <c:v>4215.2</c:v>
                </c:pt>
                <c:pt idx="9" formatCode="#,##0.0">
                  <c:v>3850.8382576050003</c:v>
                </c:pt>
              </c:numCache>
            </c:numRef>
          </c:val>
          <c:extLst xmlns:c16r2="http://schemas.microsoft.com/office/drawing/2015/06/chart">
            <c:ext xmlns:c16="http://schemas.microsoft.com/office/drawing/2014/chart" uri="{C3380CC4-5D6E-409C-BE32-E72D297353CC}">
              <c16:uniqueId val="{00000000-A407-48BC-B9B9-417514DC7013}"/>
            </c:ext>
          </c:extLst>
        </c:ser>
        <c:ser>
          <c:idx val="2"/>
          <c:order val="1"/>
          <c:tx>
            <c:strRef>
              <c:f>'data-inventarisatie'!$C$84</c:f>
              <c:strCache>
                <c:ptCount val="1"/>
                <c:pt idx="0">
                  <c:v>Scope 3</c:v>
                </c:pt>
              </c:strCache>
            </c:strRef>
          </c:tx>
          <c:spPr>
            <a:solidFill>
              <a:srgbClr val="9BBB59"/>
            </a:solidFill>
            <a:ln w="25400">
              <a:noFill/>
            </a:ln>
          </c:spPr>
          <c:invertIfNegative val="0"/>
          <c:cat>
            <c:numRef>
              <c:f>'data-inventarisatie'!$A$85:$A$94</c:f>
              <c:numCache>
                <c:formatCode>General</c:formatCode>
                <c:ptCount val="10"/>
                <c:pt idx="0">
                  <c:v>2013</c:v>
                </c:pt>
                <c:pt idx="1">
                  <c:v>2015</c:v>
                </c:pt>
                <c:pt idx="2">
                  <c:v>2016</c:v>
                </c:pt>
                <c:pt idx="3">
                  <c:v>2017</c:v>
                </c:pt>
                <c:pt idx="4">
                  <c:v>2018</c:v>
                </c:pt>
                <c:pt idx="5">
                  <c:v>2019</c:v>
                </c:pt>
                <c:pt idx="6">
                  <c:v>2020</c:v>
                </c:pt>
                <c:pt idx="7">
                  <c:v>2021</c:v>
                </c:pt>
                <c:pt idx="8">
                  <c:v>2022</c:v>
                </c:pt>
                <c:pt idx="9">
                  <c:v>2023</c:v>
                </c:pt>
              </c:numCache>
            </c:numRef>
          </c:cat>
          <c:val>
            <c:numRef>
              <c:f>'data-inventarisatie'!$C$85:$C$94</c:f>
              <c:numCache>
                <c:formatCode>General</c:formatCode>
                <c:ptCount val="10"/>
                <c:pt idx="0">
                  <c:v>128.9</c:v>
                </c:pt>
                <c:pt idx="1">
                  <c:v>111.2</c:v>
                </c:pt>
                <c:pt idx="2">
                  <c:v>120.1</c:v>
                </c:pt>
                <c:pt idx="3">
                  <c:v>66.400000000000006</c:v>
                </c:pt>
                <c:pt idx="4">
                  <c:v>13.7</c:v>
                </c:pt>
                <c:pt idx="5">
                  <c:v>64.8</c:v>
                </c:pt>
                <c:pt idx="6" formatCode="#,##0.0">
                  <c:v>8.6</c:v>
                </c:pt>
                <c:pt idx="7" formatCode="#,##0.0">
                  <c:v>15.9</c:v>
                </c:pt>
                <c:pt idx="8" formatCode="#,##0.0">
                  <c:v>14.6</c:v>
                </c:pt>
                <c:pt idx="9" formatCode="#,##0.0">
                  <c:v>15.180213142857143</c:v>
                </c:pt>
              </c:numCache>
            </c:numRef>
          </c:val>
          <c:extLst xmlns:c16r2="http://schemas.microsoft.com/office/drawing/2015/06/chart">
            <c:ext xmlns:c16="http://schemas.microsoft.com/office/drawing/2014/chart" uri="{C3380CC4-5D6E-409C-BE32-E72D297353CC}">
              <c16:uniqueId val="{00000001-A407-48BC-B9B9-417514DC7013}"/>
            </c:ext>
          </c:extLst>
        </c:ser>
        <c:dLbls>
          <c:showLegendKey val="0"/>
          <c:showVal val="0"/>
          <c:showCatName val="0"/>
          <c:showSerName val="0"/>
          <c:showPercent val="0"/>
          <c:showBubbleSize val="0"/>
        </c:dLbls>
        <c:gapWidth val="150"/>
        <c:shape val="box"/>
        <c:axId val="533028712"/>
        <c:axId val="533027144"/>
        <c:axId val="0"/>
      </c:bar3DChart>
      <c:catAx>
        <c:axId val="533028712"/>
        <c:scaling>
          <c:orientation val="minMax"/>
        </c:scaling>
        <c:delete val="0"/>
        <c:axPos val="b"/>
        <c:numFmt formatCode="General" sourceLinked="1"/>
        <c:majorTickMark val="out"/>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33027144"/>
        <c:crosses val="autoZero"/>
        <c:auto val="1"/>
        <c:lblAlgn val="ctr"/>
        <c:lblOffset val="100"/>
        <c:noMultiLvlLbl val="0"/>
      </c:catAx>
      <c:valAx>
        <c:axId val="533027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33028712"/>
        <c:crosses val="autoZero"/>
        <c:crossBetween val="between"/>
      </c:valAx>
      <c:spPr>
        <a:noFill/>
        <a:ln w="25400">
          <a:noFill/>
        </a:ln>
      </c:spPr>
    </c:plotArea>
    <c:legend>
      <c:legendPos val="r"/>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Ton CO</a:t>
            </a:r>
            <a:r>
              <a:rPr lang="en-US" baseline="-25000"/>
              <a:t>2</a:t>
            </a:r>
            <a:r>
              <a:rPr lang="en-US"/>
              <a:t> uitstoot per € 1.000.000 omzet</a:t>
            </a:r>
          </a:p>
        </c:rich>
      </c:tx>
      <c:overlay val="0"/>
      <c:spPr>
        <a:noFill/>
        <a:ln w="25400">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manualLayout>
          <c:layoutTarget val="inner"/>
          <c:xMode val="edge"/>
          <c:yMode val="edge"/>
          <c:x val="7.9247594050743664E-2"/>
          <c:y val="0.14530020703933746"/>
          <c:w val="0.89019685039370078"/>
          <c:h val="0.75035913989012248"/>
        </c:manualLayout>
      </c:layout>
      <c:lineChart>
        <c:grouping val="stacked"/>
        <c:varyColors val="0"/>
        <c:ser>
          <c:idx val="6"/>
          <c:order val="6"/>
          <c:spPr>
            <a:ln w="28575" cap="rnd" cmpd="sng" algn="ctr">
              <a:solidFill>
                <a:schemeClr val="accent2">
                  <a:lumMod val="80000"/>
                  <a:lumOff val="20000"/>
                  <a:shade val="95000"/>
                  <a:satMod val="105000"/>
                </a:schemeClr>
              </a:solidFill>
              <a:prstDash val="solid"/>
              <a:round/>
            </a:ln>
            <a:effectLst/>
          </c:spPr>
          <c:marker>
            <c:symbol val="none"/>
          </c:marker>
          <c:cat>
            <c:numRef>
              <c:f>'data-inventarisatie'!$A$85:$A$94</c:f>
              <c:numCache>
                <c:formatCode>General</c:formatCode>
                <c:ptCount val="10"/>
                <c:pt idx="0">
                  <c:v>2013</c:v>
                </c:pt>
                <c:pt idx="1">
                  <c:v>2015</c:v>
                </c:pt>
                <c:pt idx="2">
                  <c:v>2016</c:v>
                </c:pt>
                <c:pt idx="3">
                  <c:v>2017</c:v>
                </c:pt>
                <c:pt idx="4">
                  <c:v>2018</c:v>
                </c:pt>
                <c:pt idx="5">
                  <c:v>2019</c:v>
                </c:pt>
                <c:pt idx="6">
                  <c:v>2020</c:v>
                </c:pt>
                <c:pt idx="7">
                  <c:v>2021</c:v>
                </c:pt>
                <c:pt idx="8">
                  <c:v>2022</c:v>
                </c:pt>
                <c:pt idx="9">
                  <c:v>2023</c:v>
                </c:pt>
              </c:numCache>
            </c:numRef>
          </c:cat>
          <c:val>
            <c:numRef>
              <c:f>'data-inventarisatie'!$G$85:$G$94</c:f>
              <c:numCache>
                <c:formatCode>0.00</c:formatCode>
                <c:ptCount val="10"/>
                <c:pt idx="0">
                  <c:v>203.56976744186048</c:v>
                </c:pt>
                <c:pt idx="1">
                  <c:v>204.78651685393257</c:v>
                </c:pt>
                <c:pt idx="2">
                  <c:v>195.43085106382978</c:v>
                </c:pt>
                <c:pt idx="3">
                  <c:v>173.21800947867297</c:v>
                </c:pt>
                <c:pt idx="4">
                  <c:v>171.03004291845494</c:v>
                </c:pt>
                <c:pt idx="5">
                  <c:v>165.06382978723406</c:v>
                </c:pt>
                <c:pt idx="6">
                  <c:v>176.42622950819674</c:v>
                </c:pt>
                <c:pt idx="7">
                  <c:v>168.02024291497975</c:v>
                </c:pt>
                <c:pt idx="8">
                  <c:v>165.87450980392157</c:v>
                </c:pt>
                <c:pt idx="9">
                  <c:v>148.12331305547346</c:v>
                </c:pt>
              </c:numCache>
            </c:numRef>
          </c:val>
          <c:smooth val="0"/>
          <c:extLst xmlns:c16r2="http://schemas.microsoft.com/office/drawing/2015/06/chart">
            <c:ext xmlns:c16="http://schemas.microsoft.com/office/drawing/2014/chart" uri="{C3380CC4-5D6E-409C-BE32-E72D297353CC}">
              <c16:uniqueId val="{00000000-A6BE-45CC-9CEB-87E9BA6A98A6}"/>
            </c:ext>
          </c:extLst>
        </c:ser>
        <c:dLbls>
          <c:showLegendKey val="0"/>
          <c:showVal val="0"/>
          <c:showCatName val="0"/>
          <c:showSerName val="0"/>
          <c:showPercent val="0"/>
          <c:showBubbleSize val="0"/>
        </c:dLbls>
        <c:smooth val="0"/>
        <c:axId val="533026360"/>
        <c:axId val="533025576"/>
        <c:extLst xmlns:c16r2="http://schemas.microsoft.com/office/drawing/2015/06/chart">
          <c:ext xmlns:c15="http://schemas.microsoft.com/office/drawing/2012/chart" uri="{02D57815-91ED-43cb-92C2-25804820EDAC}">
            <c15:filteredLineSeries>
              <c15:ser>
                <c:idx val="0"/>
                <c:order val="0"/>
                <c:tx>
                  <c:strRef>
                    <c:extLst xmlns:c16r2="http://schemas.microsoft.com/office/drawing/2015/06/chart">
                      <c:ext uri="{02D57815-91ED-43cb-92C2-25804820EDAC}">
                        <c15:formulaRef>
                          <c15:sqref>'data-inventarisatie'!$A$85:$A$91</c15:sqref>
                        </c15:formulaRef>
                      </c:ext>
                    </c:extLst>
                    <c:strCache>
                      <c:ptCount val="7"/>
                      <c:pt idx="0">
                        <c:v>2013</c:v>
                      </c:pt>
                      <c:pt idx="1">
                        <c:v>2015</c:v>
                      </c:pt>
                      <c:pt idx="2">
                        <c:v>2016</c:v>
                      </c:pt>
                      <c:pt idx="3">
                        <c:v>2017</c:v>
                      </c:pt>
                      <c:pt idx="4">
                        <c:v>2018</c:v>
                      </c:pt>
                      <c:pt idx="5">
                        <c:v>2019</c:v>
                      </c:pt>
                      <c:pt idx="6">
                        <c:v>2020</c:v>
                      </c:pt>
                    </c:strCache>
                  </c:strRef>
                </c:tx>
                <c:spPr>
                  <a:ln w="28575" cap="rnd" cmpd="sng" algn="ctr">
                    <a:solidFill>
                      <a:schemeClr val="accent2">
                        <a:shade val="95000"/>
                        <a:satMod val="105000"/>
                      </a:schemeClr>
                    </a:solidFill>
                    <a:prstDash val="solid"/>
                    <a:round/>
                  </a:ln>
                  <a:effectLst/>
                </c:spPr>
                <c:marker>
                  <c:symbol val="none"/>
                </c:marker>
                <c:cat>
                  <c:numRef>
                    <c:extLst xmlns:c16r2="http://schemas.microsoft.com/office/drawing/2015/06/chart">
                      <c:ext uri="{02D57815-91ED-43cb-92C2-25804820EDAC}">
                        <c15:formulaRef>
                          <c15:sqref>'data-inventarisatie'!$A$85:$A$94</c15:sqref>
                        </c15:formulaRef>
                      </c:ext>
                    </c:extLst>
                    <c:numCache>
                      <c:formatCode>General</c:formatCode>
                      <c:ptCount val="10"/>
                      <c:pt idx="0">
                        <c:v>2013</c:v>
                      </c:pt>
                      <c:pt idx="1">
                        <c:v>2015</c:v>
                      </c:pt>
                      <c:pt idx="2">
                        <c:v>2016</c:v>
                      </c:pt>
                      <c:pt idx="3">
                        <c:v>2017</c:v>
                      </c:pt>
                      <c:pt idx="4">
                        <c:v>2018</c:v>
                      </c:pt>
                      <c:pt idx="5">
                        <c:v>2019</c:v>
                      </c:pt>
                      <c:pt idx="6">
                        <c:v>2020</c:v>
                      </c:pt>
                      <c:pt idx="7">
                        <c:v>2021</c:v>
                      </c:pt>
                      <c:pt idx="8">
                        <c:v>2022</c:v>
                      </c:pt>
                      <c:pt idx="9">
                        <c:v>2023</c:v>
                      </c:pt>
                    </c:numCache>
                  </c:numRef>
                </c:cat>
                <c:val>
                  <c:numRef>
                    <c:extLst xmlns:c16r2="http://schemas.microsoft.com/office/drawing/2015/06/chart">
                      <c:ext uri="{02D57815-91ED-43cb-92C2-25804820EDAC}">
                        <c15:formulaRef>
                          <c15:sqref>'data-inventarisatie'!$A$85:$A$91</c15:sqref>
                        </c15:formulaRef>
                      </c:ext>
                    </c:extLst>
                    <c:numCache>
                      <c:formatCode>General</c:formatCode>
                      <c:ptCount val="7"/>
                      <c:pt idx="0">
                        <c:v>2013</c:v>
                      </c:pt>
                      <c:pt idx="1">
                        <c:v>2015</c:v>
                      </c:pt>
                      <c:pt idx="2">
                        <c:v>2016</c:v>
                      </c:pt>
                      <c:pt idx="3">
                        <c:v>2017</c:v>
                      </c:pt>
                      <c:pt idx="4">
                        <c:v>2018</c:v>
                      </c:pt>
                      <c:pt idx="5">
                        <c:v>2019</c:v>
                      </c:pt>
                      <c:pt idx="6">
                        <c:v>2020</c:v>
                      </c:pt>
                    </c:numCache>
                  </c:numRef>
                </c:val>
                <c:smooth val="0"/>
                <c:extLst xmlns:c16r2="http://schemas.microsoft.com/office/drawing/2015/06/chart">
                  <c:ext xmlns:c16="http://schemas.microsoft.com/office/drawing/2014/chart" uri="{C3380CC4-5D6E-409C-BE32-E72D297353CC}">
                    <c16:uniqueId val="{00000001-A6BE-45CC-9CEB-87E9BA6A98A6}"/>
                  </c:ext>
                </c:extLst>
              </c15:ser>
            </c15:filteredLineSeries>
            <c15:filteredLineSeries>
              <c15:ser>
                <c:idx val="1"/>
                <c:order val="1"/>
                <c:spPr>
                  <a:ln w="28575" cap="rnd" cmpd="sng" algn="ctr">
                    <a:solidFill>
                      <a:schemeClr val="accent4">
                        <a:shade val="95000"/>
                        <a:satMod val="105000"/>
                      </a:schemeClr>
                    </a:solidFill>
                    <a:prstDash val="solid"/>
                    <a:round/>
                  </a:ln>
                  <a:effectLst/>
                </c:spPr>
                <c:marker>
                  <c:symbol val="none"/>
                </c:marker>
                <c:cat>
                  <c:numRef>
                    <c:extLst xmlns:c16r2="http://schemas.microsoft.com/office/drawing/2015/06/chart" xmlns:c15="http://schemas.microsoft.com/office/drawing/2012/chart">
                      <c:ext xmlns:c15="http://schemas.microsoft.com/office/drawing/2012/chart" uri="{02D57815-91ED-43cb-92C2-25804820EDAC}">
                        <c15:formulaRef>
                          <c15:sqref>'data-inventarisatie'!$A$85:$A$94</c15:sqref>
                        </c15:formulaRef>
                      </c:ext>
                    </c:extLst>
                    <c:numCache>
                      <c:formatCode>General</c:formatCode>
                      <c:ptCount val="10"/>
                      <c:pt idx="0">
                        <c:v>2013</c:v>
                      </c:pt>
                      <c:pt idx="1">
                        <c:v>2015</c:v>
                      </c:pt>
                      <c:pt idx="2">
                        <c:v>2016</c:v>
                      </c:pt>
                      <c:pt idx="3">
                        <c:v>2017</c:v>
                      </c:pt>
                      <c:pt idx="4">
                        <c:v>2018</c:v>
                      </c:pt>
                      <c:pt idx="5">
                        <c:v>2019</c:v>
                      </c:pt>
                      <c:pt idx="6">
                        <c:v>2020</c:v>
                      </c:pt>
                      <c:pt idx="7">
                        <c:v>2021</c:v>
                      </c:pt>
                      <c:pt idx="8">
                        <c:v>2022</c:v>
                      </c:pt>
                      <c:pt idx="9">
                        <c:v>2023</c:v>
                      </c:pt>
                    </c:numCache>
                  </c:numRef>
                </c:cat>
                <c:val>
                  <c:numRef>
                    <c:extLst xmlns:c16r2="http://schemas.microsoft.com/office/drawing/2015/06/chart" xmlns:c15="http://schemas.microsoft.com/office/drawing/2012/chart">
                      <c:ext xmlns:c15="http://schemas.microsoft.com/office/drawing/2012/chart" uri="{02D57815-91ED-43cb-92C2-25804820EDAC}">
                        <c15:formulaRef>
                          <c15:sqref>'data-inventarisatie'!$B$85:$B$91</c15:sqref>
                        </c15:formulaRef>
                      </c:ext>
                    </c:extLst>
                    <c:numCache>
                      <c:formatCode>General</c:formatCode>
                      <c:ptCount val="7"/>
                      <c:pt idx="0">
                        <c:v>3372.5</c:v>
                      </c:pt>
                      <c:pt idx="1">
                        <c:v>3534</c:v>
                      </c:pt>
                      <c:pt idx="2">
                        <c:v>3554</c:v>
                      </c:pt>
                      <c:pt idx="3">
                        <c:v>3588.5</c:v>
                      </c:pt>
                      <c:pt idx="4">
                        <c:v>3971.3</c:v>
                      </c:pt>
                      <c:pt idx="5">
                        <c:v>3814.2</c:v>
                      </c:pt>
                      <c:pt idx="6" formatCode="#,##0.0">
                        <c:v>4296.2</c:v>
                      </c:pt>
                    </c:numCache>
                  </c:numRef>
                </c:val>
                <c:smooth val="0"/>
                <c:extLst xmlns:c16r2="http://schemas.microsoft.com/office/drawing/2015/06/chart" xmlns:c15="http://schemas.microsoft.com/office/drawing/2012/chart">
                  <c:ext xmlns:c16="http://schemas.microsoft.com/office/drawing/2014/chart" uri="{C3380CC4-5D6E-409C-BE32-E72D297353CC}">
                    <c16:uniqueId val="{00000002-A6BE-45CC-9CEB-87E9BA6A98A6}"/>
                  </c:ext>
                </c:extLst>
              </c15:ser>
            </c15:filteredLineSeries>
            <c15:filteredLineSeries>
              <c15:ser>
                <c:idx val="2"/>
                <c:order val="2"/>
                <c:spPr>
                  <a:ln w="28575" cap="rnd" cmpd="sng" algn="ctr">
                    <a:solidFill>
                      <a:schemeClr val="accent6">
                        <a:shade val="95000"/>
                        <a:satMod val="105000"/>
                      </a:schemeClr>
                    </a:solidFill>
                    <a:prstDash val="solid"/>
                    <a:round/>
                  </a:ln>
                  <a:effectLst/>
                </c:spPr>
                <c:marker>
                  <c:symbol val="none"/>
                </c:marker>
                <c:cat>
                  <c:numRef>
                    <c:extLst xmlns:c16r2="http://schemas.microsoft.com/office/drawing/2015/06/chart" xmlns:c15="http://schemas.microsoft.com/office/drawing/2012/chart">
                      <c:ext xmlns:c15="http://schemas.microsoft.com/office/drawing/2012/chart" uri="{02D57815-91ED-43cb-92C2-25804820EDAC}">
                        <c15:formulaRef>
                          <c15:sqref>'data-inventarisatie'!$A$85:$A$94</c15:sqref>
                        </c15:formulaRef>
                      </c:ext>
                    </c:extLst>
                    <c:numCache>
                      <c:formatCode>General</c:formatCode>
                      <c:ptCount val="10"/>
                      <c:pt idx="0">
                        <c:v>2013</c:v>
                      </c:pt>
                      <c:pt idx="1">
                        <c:v>2015</c:v>
                      </c:pt>
                      <c:pt idx="2">
                        <c:v>2016</c:v>
                      </c:pt>
                      <c:pt idx="3">
                        <c:v>2017</c:v>
                      </c:pt>
                      <c:pt idx="4">
                        <c:v>2018</c:v>
                      </c:pt>
                      <c:pt idx="5">
                        <c:v>2019</c:v>
                      </c:pt>
                      <c:pt idx="6">
                        <c:v>2020</c:v>
                      </c:pt>
                      <c:pt idx="7">
                        <c:v>2021</c:v>
                      </c:pt>
                      <c:pt idx="8">
                        <c:v>2022</c:v>
                      </c:pt>
                      <c:pt idx="9">
                        <c:v>2023</c:v>
                      </c:pt>
                    </c:numCache>
                  </c:numRef>
                </c:cat>
                <c:val>
                  <c:numRef>
                    <c:extLst xmlns:c16r2="http://schemas.microsoft.com/office/drawing/2015/06/chart" xmlns:c15="http://schemas.microsoft.com/office/drawing/2012/chart">
                      <c:ext xmlns:c15="http://schemas.microsoft.com/office/drawing/2012/chart" uri="{02D57815-91ED-43cb-92C2-25804820EDAC}">
                        <c15:formulaRef>
                          <c15:sqref>'data-inventarisatie'!$C$85:$C$91</c15:sqref>
                        </c15:formulaRef>
                      </c:ext>
                    </c:extLst>
                    <c:numCache>
                      <c:formatCode>General</c:formatCode>
                      <c:ptCount val="7"/>
                      <c:pt idx="0">
                        <c:v>128.9</c:v>
                      </c:pt>
                      <c:pt idx="1">
                        <c:v>111.2</c:v>
                      </c:pt>
                      <c:pt idx="2">
                        <c:v>120.1</c:v>
                      </c:pt>
                      <c:pt idx="3">
                        <c:v>66.400000000000006</c:v>
                      </c:pt>
                      <c:pt idx="4">
                        <c:v>13.7</c:v>
                      </c:pt>
                      <c:pt idx="5">
                        <c:v>64.8</c:v>
                      </c:pt>
                      <c:pt idx="6" formatCode="#,##0.0">
                        <c:v>8.6</c:v>
                      </c:pt>
                    </c:numCache>
                  </c:numRef>
                </c:val>
                <c:smooth val="0"/>
                <c:extLst xmlns:c16r2="http://schemas.microsoft.com/office/drawing/2015/06/chart" xmlns:c15="http://schemas.microsoft.com/office/drawing/2012/chart">
                  <c:ext xmlns:c16="http://schemas.microsoft.com/office/drawing/2014/chart" uri="{C3380CC4-5D6E-409C-BE32-E72D297353CC}">
                    <c16:uniqueId val="{00000003-A6BE-45CC-9CEB-87E9BA6A98A6}"/>
                  </c:ext>
                </c:extLst>
              </c15:ser>
            </c15:filteredLineSeries>
            <c15:filteredLineSeries>
              <c15:ser>
                <c:idx val="3"/>
                <c:order val="3"/>
                <c:spPr>
                  <a:ln w="28575" cap="rnd" cmpd="sng" algn="ctr">
                    <a:solidFill>
                      <a:schemeClr val="accent2">
                        <a:lumMod val="60000"/>
                        <a:shade val="95000"/>
                        <a:satMod val="105000"/>
                      </a:schemeClr>
                    </a:solidFill>
                    <a:prstDash val="solid"/>
                    <a:round/>
                  </a:ln>
                  <a:effectLst/>
                </c:spPr>
                <c:marker>
                  <c:symbol val="none"/>
                </c:marker>
                <c:cat>
                  <c:numRef>
                    <c:extLst xmlns:c16r2="http://schemas.microsoft.com/office/drawing/2015/06/chart" xmlns:c15="http://schemas.microsoft.com/office/drawing/2012/chart">
                      <c:ext xmlns:c15="http://schemas.microsoft.com/office/drawing/2012/chart" uri="{02D57815-91ED-43cb-92C2-25804820EDAC}">
                        <c15:formulaRef>
                          <c15:sqref>'data-inventarisatie'!$A$85:$A$94</c15:sqref>
                        </c15:formulaRef>
                      </c:ext>
                    </c:extLst>
                    <c:numCache>
                      <c:formatCode>General</c:formatCode>
                      <c:ptCount val="10"/>
                      <c:pt idx="0">
                        <c:v>2013</c:v>
                      </c:pt>
                      <c:pt idx="1">
                        <c:v>2015</c:v>
                      </c:pt>
                      <c:pt idx="2">
                        <c:v>2016</c:v>
                      </c:pt>
                      <c:pt idx="3">
                        <c:v>2017</c:v>
                      </c:pt>
                      <c:pt idx="4">
                        <c:v>2018</c:v>
                      </c:pt>
                      <c:pt idx="5">
                        <c:v>2019</c:v>
                      </c:pt>
                      <c:pt idx="6">
                        <c:v>2020</c:v>
                      </c:pt>
                      <c:pt idx="7">
                        <c:v>2021</c:v>
                      </c:pt>
                      <c:pt idx="8">
                        <c:v>2022</c:v>
                      </c:pt>
                      <c:pt idx="9">
                        <c:v>2023</c:v>
                      </c:pt>
                    </c:numCache>
                  </c:numRef>
                </c:cat>
                <c:val>
                  <c:numRef>
                    <c:extLst xmlns:c16r2="http://schemas.microsoft.com/office/drawing/2015/06/chart" xmlns:c15="http://schemas.microsoft.com/office/drawing/2012/chart">
                      <c:ext xmlns:c15="http://schemas.microsoft.com/office/drawing/2012/chart" uri="{02D57815-91ED-43cb-92C2-25804820EDAC}">
                        <c15:formulaRef>
                          <c15:sqref>'data-inventarisatie'!$D$85:$D$91</c15:sqref>
                        </c15:formulaRef>
                      </c:ext>
                    </c:extLst>
                    <c:numCache>
                      <c:formatCode>General</c:formatCode>
                      <c:ptCount val="7"/>
                      <c:pt idx="0">
                        <c:v>3501.4</c:v>
                      </c:pt>
                      <c:pt idx="1">
                        <c:v>3645.2</c:v>
                      </c:pt>
                      <c:pt idx="2">
                        <c:v>3674.1</c:v>
                      </c:pt>
                      <c:pt idx="3">
                        <c:v>3654.9</c:v>
                      </c:pt>
                      <c:pt idx="4" formatCode="0.0">
                        <c:v>3985</c:v>
                      </c:pt>
                      <c:pt idx="5" formatCode="0.0">
                        <c:v>3879</c:v>
                      </c:pt>
                      <c:pt idx="6" formatCode="0.0">
                        <c:v>4304.8</c:v>
                      </c:pt>
                    </c:numCache>
                  </c:numRef>
                </c:val>
                <c:smooth val="0"/>
                <c:extLst xmlns:c16r2="http://schemas.microsoft.com/office/drawing/2015/06/chart" xmlns:c15="http://schemas.microsoft.com/office/drawing/2012/chart">
                  <c:ext xmlns:c16="http://schemas.microsoft.com/office/drawing/2014/chart" uri="{C3380CC4-5D6E-409C-BE32-E72D297353CC}">
                    <c16:uniqueId val="{00000004-A6BE-45CC-9CEB-87E9BA6A98A6}"/>
                  </c:ext>
                </c:extLst>
              </c15:ser>
            </c15:filteredLineSeries>
            <c15:filteredLineSeries>
              <c15:ser>
                <c:idx val="4"/>
                <c:order val="4"/>
                <c:spPr>
                  <a:ln w="28575" cap="rnd" cmpd="sng" algn="ctr">
                    <a:solidFill>
                      <a:schemeClr val="accent4">
                        <a:lumMod val="60000"/>
                        <a:shade val="95000"/>
                        <a:satMod val="105000"/>
                      </a:schemeClr>
                    </a:solidFill>
                    <a:prstDash val="solid"/>
                    <a:round/>
                  </a:ln>
                  <a:effectLst/>
                </c:spPr>
                <c:marker>
                  <c:symbol val="none"/>
                </c:marker>
                <c:cat>
                  <c:numRef>
                    <c:extLst xmlns:c16r2="http://schemas.microsoft.com/office/drawing/2015/06/chart" xmlns:c15="http://schemas.microsoft.com/office/drawing/2012/chart">
                      <c:ext xmlns:c15="http://schemas.microsoft.com/office/drawing/2012/chart" uri="{02D57815-91ED-43cb-92C2-25804820EDAC}">
                        <c15:formulaRef>
                          <c15:sqref>'data-inventarisatie'!$A$85:$A$94</c15:sqref>
                        </c15:formulaRef>
                      </c:ext>
                    </c:extLst>
                    <c:numCache>
                      <c:formatCode>General</c:formatCode>
                      <c:ptCount val="10"/>
                      <c:pt idx="0">
                        <c:v>2013</c:v>
                      </c:pt>
                      <c:pt idx="1">
                        <c:v>2015</c:v>
                      </c:pt>
                      <c:pt idx="2">
                        <c:v>2016</c:v>
                      </c:pt>
                      <c:pt idx="3">
                        <c:v>2017</c:v>
                      </c:pt>
                      <c:pt idx="4">
                        <c:v>2018</c:v>
                      </c:pt>
                      <c:pt idx="5">
                        <c:v>2019</c:v>
                      </c:pt>
                      <c:pt idx="6">
                        <c:v>2020</c:v>
                      </c:pt>
                      <c:pt idx="7">
                        <c:v>2021</c:v>
                      </c:pt>
                      <c:pt idx="8">
                        <c:v>2022</c:v>
                      </c:pt>
                      <c:pt idx="9">
                        <c:v>2023</c:v>
                      </c:pt>
                    </c:numCache>
                  </c:numRef>
                </c:cat>
                <c:val>
                  <c:numRef>
                    <c:extLst xmlns:c16r2="http://schemas.microsoft.com/office/drawing/2015/06/chart" xmlns:c15="http://schemas.microsoft.com/office/drawing/2012/chart">
                      <c:ext xmlns:c15="http://schemas.microsoft.com/office/drawing/2012/chart" uri="{02D57815-91ED-43cb-92C2-25804820EDAC}">
                        <c15:formulaRef>
                          <c15:sqref>'data-inventarisatie'!$E$85:$E$91</c15:sqref>
                        </c15:formulaRef>
                      </c:ext>
                    </c:extLst>
                    <c:numCache>
                      <c:formatCode>General</c:formatCode>
                      <c:ptCount val="7"/>
                    </c:numCache>
                  </c:numRef>
                </c:val>
                <c:smooth val="0"/>
                <c:extLst xmlns:c16r2="http://schemas.microsoft.com/office/drawing/2015/06/chart" xmlns:c15="http://schemas.microsoft.com/office/drawing/2012/chart">
                  <c:ext xmlns:c16="http://schemas.microsoft.com/office/drawing/2014/chart" uri="{C3380CC4-5D6E-409C-BE32-E72D297353CC}">
                    <c16:uniqueId val="{00000005-A6BE-45CC-9CEB-87E9BA6A98A6}"/>
                  </c:ext>
                </c:extLst>
              </c15:ser>
            </c15:filteredLineSeries>
            <c15:filteredLineSeries>
              <c15:ser>
                <c:idx val="5"/>
                <c:order val="5"/>
                <c:spPr>
                  <a:ln w="28575" cap="rnd" cmpd="sng" algn="ctr">
                    <a:solidFill>
                      <a:schemeClr val="accent6">
                        <a:lumMod val="60000"/>
                        <a:shade val="95000"/>
                        <a:satMod val="105000"/>
                      </a:schemeClr>
                    </a:solidFill>
                    <a:prstDash val="solid"/>
                    <a:round/>
                  </a:ln>
                  <a:effectLst/>
                </c:spPr>
                <c:marker>
                  <c:symbol val="none"/>
                </c:marker>
                <c:cat>
                  <c:numRef>
                    <c:extLst xmlns:c16r2="http://schemas.microsoft.com/office/drawing/2015/06/chart" xmlns:c15="http://schemas.microsoft.com/office/drawing/2012/chart">
                      <c:ext xmlns:c15="http://schemas.microsoft.com/office/drawing/2012/chart" uri="{02D57815-91ED-43cb-92C2-25804820EDAC}">
                        <c15:formulaRef>
                          <c15:sqref>'data-inventarisatie'!$A$85:$A$94</c15:sqref>
                        </c15:formulaRef>
                      </c:ext>
                    </c:extLst>
                    <c:numCache>
                      <c:formatCode>General</c:formatCode>
                      <c:ptCount val="10"/>
                      <c:pt idx="0">
                        <c:v>2013</c:v>
                      </c:pt>
                      <c:pt idx="1">
                        <c:v>2015</c:v>
                      </c:pt>
                      <c:pt idx="2">
                        <c:v>2016</c:v>
                      </c:pt>
                      <c:pt idx="3">
                        <c:v>2017</c:v>
                      </c:pt>
                      <c:pt idx="4">
                        <c:v>2018</c:v>
                      </c:pt>
                      <c:pt idx="5">
                        <c:v>2019</c:v>
                      </c:pt>
                      <c:pt idx="6">
                        <c:v>2020</c:v>
                      </c:pt>
                      <c:pt idx="7">
                        <c:v>2021</c:v>
                      </c:pt>
                      <c:pt idx="8">
                        <c:v>2022</c:v>
                      </c:pt>
                      <c:pt idx="9">
                        <c:v>2023</c:v>
                      </c:pt>
                    </c:numCache>
                  </c:numRef>
                </c:cat>
                <c:val>
                  <c:numRef>
                    <c:extLst xmlns:c16r2="http://schemas.microsoft.com/office/drawing/2015/06/chart" xmlns:c15="http://schemas.microsoft.com/office/drawing/2012/chart">
                      <c:ext xmlns:c15="http://schemas.microsoft.com/office/drawing/2012/chart" uri="{02D57815-91ED-43cb-92C2-25804820EDAC}">
                        <c15:formulaRef>
                          <c15:sqref>'data-inventarisatie'!$F$85:$F$91</c15:sqref>
                        </c15:formulaRef>
                      </c:ext>
                    </c:extLst>
                    <c:numCache>
                      <c:formatCode>General</c:formatCode>
                      <c:ptCount val="7"/>
                      <c:pt idx="0">
                        <c:v>17.2</c:v>
                      </c:pt>
                      <c:pt idx="1">
                        <c:v>17.8</c:v>
                      </c:pt>
                      <c:pt idx="2">
                        <c:v>18.8</c:v>
                      </c:pt>
                      <c:pt idx="3">
                        <c:v>21.1</c:v>
                      </c:pt>
                      <c:pt idx="4">
                        <c:v>23.3</c:v>
                      </c:pt>
                      <c:pt idx="5">
                        <c:v>23.5</c:v>
                      </c:pt>
                      <c:pt idx="6">
                        <c:v>24.4</c:v>
                      </c:pt>
                    </c:numCache>
                  </c:numRef>
                </c:val>
                <c:smooth val="0"/>
                <c:extLst xmlns:c16r2="http://schemas.microsoft.com/office/drawing/2015/06/chart" xmlns:c15="http://schemas.microsoft.com/office/drawing/2012/chart">
                  <c:ext xmlns:c16="http://schemas.microsoft.com/office/drawing/2014/chart" uri="{C3380CC4-5D6E-409C-BE32-E72D297353CC}">
                    <c16:uniqueId val="{00000006-A6BE-45CC-9CEB-87E9BA6A98A6}"/>
                  </c:ext>
                </c:extLst>
              </c15:ser>
            </c15:filteredLineSeries>
          </c:ext>
        </c:extLst>
      </c:lineChart>
      <c:catAx>
        <c:axId val="5330263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33025576"/>
        <c:crosses val="autoZero"/>
        <c:auto val="1"/>
        <c:lblAlgn val="ctr"/>
        <c:lblOffset val="100"/>
        <c:noMultiLvlLbl val="0"/>
      </c:catAx>
      <c:valAx>
        <c:axId val="5330255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out"/>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33026360"/>
        <c:crosses val="autoZero"/>
        <c:crossBetween val="between"/>
      </c:valAx>
      <c:spPr>
        <a:noFill/>
        <a:ln w="25400">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nl-N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Verdeling CO2 uitstoot</a:t>
            </a:r>
          </a:p>
          <a:p>
            <a:pPr>
              <a:defRPr sz="1400" b="0" i="0" u="none" strike="noStrike" kern="1200" spc="0" baseline="0">
                <a:solidFill>
                  <a:schemeClr val="tx1">
                    <a:lumMod val="65000"/>
                    <a:lumOff val="35000"/>
                  </a:schemeClr>
                </a:solidFill>
                <a:latin typeface="+mn-lt"/>
                <a:ea typeface="+mn-ea"/>
                <a:cs typeface="+mn-cs"/>
              </a:defRPr>
            </a:pPr>
            <a:endParaRPr lang="en-US"/>
          </a:p>
        </c:rich>
      </c:tx>
      <c:overlay val="0"/>
      <c:spPr>
        <a:noFill/>
        <a:ln w="25400">
          <a:noFill/>
        </a:ln>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8B7-41AE-A45D-4E278B5B7F5C}"/>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8B7-41AE-A45D-4E278B5B7F5C}"/>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8B7-41AE-A45D-4E278B5B7F5C}"/>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28B7-41AE-A45D-4E278B5B7F5C}"/>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28B7-41AE-A45D-4E278B5B7F5C}"/>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28B7-41AE-A45D-4E278B5B7F5C}"/>
              </c:ext>
            </c:extLst>
          </c:dPt>
          <c:cat>
            <c:strRef>
              <c:f>'data-inventarisatie'!$B$67:$B$72</c:f>
              <c:strCache>
                <c:ptCount val="6"/>
                <c:pt idx="0">
                  <c:v>Aardgas</c:v>
                </c:pt>
                <c:pt idx="1">
                  <c:v>Personenvervoer</c:v>
                </c:pt>
                <c:pt idx="2">
                  <c:v>Materieel</c:v>
                </c:pt>
                <c:pt idx="3">
                  <c:v>Lasgassen</c:v>
                </c:pt>
                <c:pt idx="4">
                  <c:v>Gedeclareerde km's</c:v>
                </c:pt>
                <c:pt idx="5">
                  <c:v>Elektra</c:v>
                </c:pt>
              </c:strCache>
            </c:strRef>
          </c:cat>
          <c:val>
            <c:numRef>
              <c:f>'data-inventarisatie'!$C$67:$C$72</c:f>
              <c:numCache>
                <c:formatCode>#,##0.0</c:formatCode>
                <c:ptCount val="6"/>
                <c:pt idx="0">
                  <c:v>54.405990000000003</c:v>
                </c:pt>
                <c:pt idx="1">
                  <c:v>37.595939619999996</c:v>
                </c:pt>
                <c:pt idx="2">
                  <c:v>4042.377156</c:v>
                </c:pt>
                <c:pt idx="3">
                  <c:v>5.0421167499999999</c:v>
                </c:pt>
                <c:pt idx="4">
                  <c:v>15.692362736842101</c:v>
                </c:pt>
                <c:pt idx="5">
                  <c:v>0</c:v>
                </c:pt>
              </c:numCache>
            </c:numRef>
          </c:val>
          <c:extLst xmlns:c16r2="http://schemas.microsoft.com/office/drawing/2015/06/chart">
            <c:ext xmlns:c16="http://schemas.microsoft.com/office/drawing/2014/chart" uri="{C3380CC4-5D6E-409C-BE32-E72D297353CC}">
              <c16:uniqueId val="{0000000C-28B7-41AE-A45D-4E278B5B7F5C}"/>
            </c:ext>
          </c:extLst>
        </c:ser>
        <c:dLbls>
          <c:showLegendKey val="0"/>
          <c:showVal val="0"/>
          <c:showCatName val="0"/>
          <c:showSerName val="0"/>
          <c:showPercent val="0"/>
          <c:showBubbleSize val="0"/>
          <c:showLeaderLines val="1"/>
        </c:dLbls>
        <c:firstSliceAng val="0"/>
      </c:pieChart>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2">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178c7e-73ba-4e83-b890-4c8ca22d0f24">
      <Terms xmlns="http://schemas.microsoft.com/office/infopath/2007/PartnerControls"/>
    </lcf76f155ced4ddcb4097134ff3c332f>
    <TaxCatchAll xmlns="d8415719-93eb-457a-bdc6-8719660bb39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150EDB4A6C1D47B7057999DA9AEDD6" ma:contentTypeVersion="16" ma:contentTypeDescription="Een nieuw document maken." ma:contentTypeScope="" ma:versionID="4665ab7284b336d6156ae0e698c15aef">
  <xsd:schema xmlns:xsd="http://www.w3.org/2001/XMLSchema" xmlns:xs="http://www.w3.org/2001/XMLSchema" xmlns:p="http://schemas.microsoft.com/office/2006/metadata/properties" xmlns:ns2="d8415719-93eb-457a-bdc6-8719660bb39c" xmlns:ns3="e1178c7e-73ba-4e83-b890-4c8ca22d0f24" targetNamespace="http://schemas.microsoft.com/office/2006/metadata/properties" ma:root="true" ma:fieldsID="7bd2044944105c050d6fbf85c400134a" ns2:_="" ns3:_="">
    <xsd:import namespace="d8415719-93eb-457a-bdc6-8719660bb39c"/>
    <xsd:import namespace="e1178c7e-73ba-4e83-b890-4c8ca22d0f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15719-93eb-457a-bdc6-8719660bb39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1d538d2-5284-462b-8a6a-6914b552ec75}" ma:internalName="TaxCatchAll" ma:showField="CatchAllData" ma:web="d8415719-93eb-457a-bdc6-8719660bb3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178c7e-73ba-4e83-b890-4c8ca22d0f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68ba42b-62df-4a23-9d4a-b0f2b21dcc1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8EA093-3093-4228-80E0-2A87F7203D54}">
  <ds:schemaRefs>
    <ds:schemaRef ds:uri="http://schemas.microsoft.com/office/2006/metadata/properties"/>
    <ds:schemaRef ds:uri="http://schemas.microsoft.com/office/infopath/2007/PartnerControls"/>
    <ds:schemaRef ds:uri="e1178c7e-73ba-4e83-b890-4c8ca22d0f24"/>
    <ds:schemaRef ds:uri="d8415719-93eb-457a-bdc6-8719660bb39c"/>
  </ds:schemaRefs>
</ds:datastoreItem>
</file>

<file path=customXml/itemProps2.xml><?xml version="1.0" encoding="utf-8"?>
<ds:datastoreItem xmlns:ds="http://schemas.openxmlformats.org/officeDocument/2006/customXml" ds:itemID="{F257B95D-3640-4642-8497-8EFE5C8B9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15719-93eb-457a-bdc6-8719660bb39c"/>
    <ds:schemaRef ds:uri="e1178c7e-73ba-4e83-b890-4c8ca22d0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71F76C-B0E0-40A9-BDA1-A0BCC62C24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1235</Words>
  <Characters>6793</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Schuurkes</dc:creator>
  <cp:keywords/>
  <dc:description/>
  <cp:lastModifiedBy>gebruiker</cp:lastModifiedBy>
  <cp:revision>5</cp:revision>
  <cp:lastPrinted>2024-04-11T14:26:00Z</cp:lastPrinted>
  <dcterms:created xsi:type="dcterms:W3CDTF">2024-04-11T14:22:00Z</dcterms:created>
  <dcterms:modified xsi:type="dcterms:W3CDTF">2024-04-15T08:05:00Z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0x01010052150EDB4A6C1D47B7057999DA9AEDD6</vt:lpwstr>
  </property>
  <property fmtid="{D5CDD505-2E9C-101B-9397-08002B2CF9AE}" pid="3" name="Order">
    <vt:r8>5648000</vt:r8>
  </property>
  <property fmtid="{D5CDD505-2E9C-101B-9397-08002B2CF9AE}" pid="4" name="MediaServiceImageTags">
    <vt:lpwstr/>
  </property>
</Properties>
</file>